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515" w14:textId="77777777" w:rsidR="00D82601" w:rsidRPr="00E71263" w:rsidRDefault="00D82601" w:rsidP="00E71263">
      <w:pPr>
        <w:tabs>
          <w:tab w:val="left" w:pos="8170"/>
        </w:tabs>
        <w:ind w:right="109"/>
        <w:jc w:val="center"/>
        <w:rPr>
          <w:rFonts w:ascii="Arial" w:hAnsi="Arial" w:cs="Arial"/>
          <w:b/>
          <w:sz w:val="24"/>
          <w:szCs w:val="24"/>
        </w:rPr>
      </w:pPr>
    </w:p>
    <w:p w14:paraId="29164989" w14:textId="77777777" w:rsidR="00D82601" w:rsidRPr="00E71263" w:rsidRDefault="00D82601" w:rsidP="00E71263">
      <w:pPr>
        <w:tabs>
          <w:tab w:val="left" w:pos="8170"/>
        </w:tabs>
        <w:jc w:val="center"/>
        <w:rPr>
          <w:rFonts w:ascii="Arial" w:hAnsi="Arial" w:cs="Arial"/>
          <w:b/>
          <w:sz w:val="24"/>
          <w:szCs w:val="24"/>
        </w:rPr>
      </w:pPr>
      <w:r w:rsidRPr="00E71263">
        <w:rPr>
          <w:rFonts w:ascii="Arial" w:hAnsi="Arial" w:cs="Arial"/>
          <w:b/>
          <w:sz w:val="24"/>
          <w:szCs w:val="24"/>
        </w:rPr>
        <w:t>LA DIRECTORA DEL DEPARTAMENTO ADMINISTRATIVO PARA LA PROSPERIDAD SOCIAL – PROSPERIDAD SOCIAL</w:t>
      </w:r>
    </w:p>
    <w:p w14:paraId="570FCE7B" w14:textId="77777777" w:rsidR="00D82601" w:rsidRPr="00E71263" w:rsidRDefault="00D82601" w:rsidP="00E71263">
      <w:pPr>
        <w:jc w:val="center"/>
        <w:rPr>
          <w:rFonts w:ascii="Arial" w:hAnsi="Arial" w:cs="Arial"/>
          <w:b/>
          <w:sz w:val="24"/>
          <w:szCs w:val="24"/>
          <w:lang w:val="es-419"/>
        </w:rPr>
      </w:pPr>
    </w:p>
    <w:p w14:paraId="147129FD" w14:textId="072FCC2F" w:rsidR="00D82601" w:rsidRPr="00E71263" w:rsidRDefault="00D82601" w:rsidP="00E71263">
      <w:pPr>
        <w:jc w:val="center"/>
        <w:rPr>
          <w:rFonts w:ascii="Arial" w:hAnsi="Arial" w:cs="Arial"/>
          <w:sz w:val="24"/>
          <w:szCs w:val="24"/>
          <w:lang w:val="es-419"/>
        </w:rPr>
      </w:pPr>
      <w:r w:rsidRPr="00E71263">
        <w:rPr>
          <w:rFonts w:ascii="Arial" w:hAnsi="Arial" w:cs="Arial"/>
          <w:bCs/>
          <w:sz w:val="24"/>
          <w:szCs w:val="24"/>
          <w:lang w:val="es-419"/>
        </w:rPr>
        <w:t>En ejercicio de sus facultades legales</w:t>
      </w:r>
      <w:r w:rsidR="00E71263" w:rsidRPr="00E71263">
        <w:rPr>
          <w:rFonts w:ascii="Arial" w:hAnsi="Arial" w:cs="Arial"/>
          <w:bCs/>
          <w:sz w:val="24"/>
          <w:szCs w:val="24"/>
          <w:lang w:val="es-419"/>
        </w:rPr>
        <w:t>,</w:t>
      </w:r>
      <w:r w:rsidRPr="00E71263">
        <w:rPr>
          <w:rFonts w:ascii="Arial" w:hAnsi="Arial" w:cs="Arial"/>
          <w:bCs/>
          <w:sz w:val="24"/>
          <w:szCs w:val="24"/>
          <w:lang w:val="es-419"/>
        </w:rPr>
        <w:t xml:space="preserve"> especialmente las conferidas por el numeral 1 del artículo 10 del Decreto 2094 de 2016, y</w:t>
      </w:r>
    </w:p>
    <w:p w14:paraId="54649890" w14:textId="50E0C9FD" w:rsidR="00D82601" w:rsidRPr="00E71263" w:rsidRDefault="00D82601" w:rsidP="00E71263">
      <w:pPr>
        <w:rPr>
          <w:rFonts w:ascii="Arial" w:hAnsi="Arial" w:cs="Arial"/>
          <w:b/>
          <w:bCs/>
          <w:sz w:val="24"/>
          <w:szCs w:val="24"/>
          <w:lang w:val="es-419"/>
        </w:rPr>
      </w:pPr>
    </w:p>
    <w:p w14:paraId="5AB1C1C8" w14:textId="77777777" w:rsidR="00D1584B" w:rsidRPr="00E71263" w:rsidRDefault="00D1584B" w:rsidP="00E71263">
      <w:pPr>
        <w:rPr>
          <w:rFonts w:ascii="Arial" w:hAnsi="Arial" w:cs="Arial"/>
          <w:b/>
          <w:bCs/>
          <w:sz w:val="24"/>
          <w:szCs w:val="24"/>
          <w:lang w:val="es-419"/>
        </w:rPr>
      </w:pPr>
    </w:p>
    <w:p w14:paraId="323DBB5B" w14:textId="77777777" w:rsidR="00D82601" w:rsidRPr="00E71263" w:rsidRDefault="00D82601" w:rsidP="00E71263">
      <w:pPr>
        <w:jc w:val="center"/>
        <w:rPr>
          <w:rFonts w:ascii="Arial" w:hAnsi="Arial" w:cs="Arial"/>
          <w:b/>
          <w:bCs/>
          <w:sz w:val="24"/>
          <w:szCs w:val="24"/>
          <w:lang w:val="es-419"/>
        </w:rPr>
      </w:pPr>
      <w:r w:rsidRPr="00E71263">
        <w:rPr>
          <w:rFonts w:ascii="Arial" w:hAnsi="Arial" w:cs="Arial"/>
          <w:b/>
          <w:bCs/>
          <w:sz w:val="24"/>
          <w:szCs w:val="24"/>
          <w:lang w:val="es-419"/>
        </w:rPr>
        <w:t xml:space="preserve">CONSIDERANDO </w:t>
      </w:r>
    </w:p>
    <w:p w14:paraId="0549733F" w14:textId="77777777" w:rsidR="00D82601" w:rsidRPr="00E71263" w:rsidRDefault="00D82601" w:rsidP="00E71263">
      <w:pPr>
        <w:jc w:val="center"/>
        <w:rPr>
          <w:rFonts w:ascii="Arial" w:hAnsi="Arial" w:cs="Arial"/>
          <w:b/>
          <w:bCs/>
          <w:sz w:val="24"/>
          <w:szCs w:val="24"/>
          <w:lang w:val="es-419"/>
        </w:rPr>
      </w:pPr>
    </w:p>
    <w:p w14:paraId="6DD6DB8D" w14:textId="581AC98F" w:rsidR="00D82601" w:rsidRPr="00E71263" w:rsidRDefault="00D82601" w:rsidP="00E71263">
      <w:pPr>
        <w:jc w:val="both"/>
        <w:rPr>
          <w:rFonts w:ascii="Arial" w:hAnsi="Arial" w:cs="Arial"/>
          <w:bCs/>
          <w:sz w:val="24"/>
          <w:szCs w:val="24"/>
          <w:lang w:val="es-419"/>
        </w:rPr>
      </w:pPr>
      <w:r w:rsidRPr="00E71263">
        <w:rPr>
          <w:rFonts w:ascii="Arial" w:hAnsi="Arial" w:cs="Arial"/>
          <w:bCs/>
          <w:sz w:val="24"/>
          <w:szCs w:val="24"/>
          <w:lang w:val="es-419"/>
        </w:rPr>
        <w:t xml:space="preserve">Que el artículo 1 de la Ley 448 de 1998 dispone que deben incluirse en el Presupuesto General de la Nación, las apropiaciones necesarias para cubrir los posibles fallos o sentencias definitivas en contra de la Entidad, para lo cual se debe implementar una metodología para evaluar el riesgo y estimar el valor a incluir en el presupuesto de </w:t>
      </w:r>
      <w:r w:rsidRPr="00E71263">
        <w:rPr>
          <w:rFonts w:ascii="Arial" w:hAnsi="Arial" w:cs="Arial"/>
          <w:bCs/>
          <w:sz w:val="24"/>
          <w:szCs w:val="24"/>
          <w:lang w:val="es-CO"/>
        </w:rPr>
        <w:t>Prosperidad Social</w:t>
      </w:r>
      <w:r w:rsidRPr="00E71263">
        <w:rPr>
          <w:rFonts w:ascii="Arial" w:hAnsi="Arial" w:cs="Arial"/>
          <w:bCs/>
          <w:sz w:val="24"/>
          <w:szCs w:val="24"/>
          <w:lang w:val="es-419"/>
        </w:rPr>
        <w:t xml:space="preserve"> por concepto de estas obligaciones.</w:t>
      </w:r>
    </w:p>
    <w:p w14:paraId="66B19BBE" w14:textId="77777777" w:rsidR="00D82601" w:rsidRPr="00E71263" w:rsidRDefault="00D82601" w:rsidP="00E71263">
      <w:pPr>
        <w:jc w:val="both"/>
        <w:rPr>
          <w:rFonts w:ascii="Arial" w:hAnsi="Arial" w:cs="Arial"/>
          <w:bCs/>
          <w:sz w:val="24"/>
          <w:szCs w:val="24"/>
          <w:lang w:val="es-419"/>
        </w:rPr>
      </w:pPr>
    </w:p>
    <w:p w14:paraId="46B0BB0A" w14:textId="77777777" w:rsidR="00D82601" w:rsidRPr="00E71263" w:rsidRDefault="00D82601" w:rsidP="00E71263">
      <w:pPr>
        <w:jc w:val="both"/>
        <w:rPr>
          <w:rFonts w:ascii="Arial" w:hAnsi="Arial" w:cs="Arial"/>
          <w:bCs/>
          <w:i/>
          <w:sz w:val="24"/>
          <w:szCs w:val="24"/>
          <w:lang w:val="es-419"/>
        </w:rPr>
      </w:pPr>
      <w:r w:rsidRPr="00E71263">
        <w:rPr>
          <w:rFonts w:ascii="Arial" w:hAnsi="Arial" w:cs="Arial"/>
          <w:bCs/>
          <w:sz w:val="24"/>
          <w:szCs w:val="24"/>
          <w:lang w:val="es-419"/>
        </w:rPr>
        <w:t xml:space="preserve">Que el numeral 5 del artículo 2.2.3.4.1.10 del Decreto 1069 de 2015 establece entre otras, como funciones del apoderado de la Entidad frente al Sistema Único de Gestión e Información de Actividad Litigiosa del Estado – eKOGUI, </w:t>
      </w:r>
      <w:r w:rsidRPr="00E71263">
        <w:rPr>
          <w:rFonts w:ascii="Arial" w:hAnsi="Arial" w:cs="Arial"/>
          <w:bCs/>
          <w:i/>
          <w:sz w:val="24"/>
          <w:szCs w:val="24"/>
          <w:lang w:val="es-419"/>
        </w:rPr>
        <w:t>“… Incorporar el valor de la provisión contable de los procesos a su cargo, con una periodicidad no superior a seis (6) meses, así como cada vez que se profiera una sentencia judicial sobre el mismo de conformidad con la metodología que se establezca para tal fin…”.</w:t>
      </w:r>
    </w:p>
    <w:p w14:paraId="05044182" w14:textId="77777777" w:rsidR="00D82601" w:rsidRPr="00E71263" w:rsidRDefault="00D82601" w:rsidP="00E71263">
      <w:pPr>
        <w:jc w:val="both"/>
        <w:rPr>
          <w:rFonts w:ascii="Arial" w:hAnsi="Arial" w:cs="Arial"/>
          <w:bCs/>
          <w:sz w:val="24"/>
          <w:szCs w:val="24"/>
          <w:lang w:val="es-419"/>
        </w:rPr>
      </w:pPr>
    </w:p>
    <w:p w14:paraId="0F51C7A9" w14:textId="58A373A6" w:rsidR="00D82601" w:rsidRPr="00E71263" w:rsidRDefault="00D82601" w:rsidP="00E71263">
      <w:pPr>
        <w:jc w:val="both"/>
        <w:rPr>
          <w:rFonts w:ascii="Arial" w:hAnsi="Arial" w:cs="Arial"/>
          <w:bCs/>
          <w:i/>
          <w:sz w:val="24"/>
          <w:szCs w:val="24"/>
          <w:lang w:val="es-419"/>
        </w:rPr>
      </w:pPr>
      <w:r w:rsidRPr="00E71263">
        <w:rPr>
          <w:rFonts w:ascii="Arial" w:hAnsi="Arial" w:cs="Arial"/>
          <w:bCs/>
          <w:sz w:val="24"/>
          <w:szCs w:val="24"/>
          <w:lang w:val="es-419"/>
        </w:rPr>
        <w:t xml:space="preserve">Que la Agencia Nacional de Defensa Jurídica del Estado mediante </w:t>
      </w:r>
      <w:r w:rsidR="00CC1697">
        <w:rPr>
          <w:rFonts w:ascii="Arial" w:hAnsi="Arial" w:cs="Arial"/>
          <w:bCs/>
          <w:sz w:val="24"/>
          <w:szCs w:val="24"/>
          <w:lang w:val="es-419"/>
        </w:rPr>
        <w:t xml:space="preserve">la </w:t>
      </w:r>
      <w:r w:rsidRPr="00E71263">
        <w:rPr>
          <w:rFonts w:ascii="Arial" w:hAnsi="Arial" w:cs="Arial"/>
          <w:bCs/>
          <w:sz w:val="24"/>
          <w:szCs w:val="24"/>
          <w:lang w:val="es-419"/>
        </w:rPr>
        <w:t xml:space="preserve">Resolución 353 del 1 de noviembre de 2016, adoptó una </w:t>
      </w:r>
      <w:r w:rsidRPr="00E71263">
        <w:rPr>
          <w:rFonts w:ascii="Arial" w:hAnsi="Arial" w:cs="Arial"/>
          <w:bCs/>
          <w:i/>
          <w:sz w:val="24"/>
          <w:szCs w:val="24"/>
          <w:lang w:val="es-CO"/>
        </w:rPr>
        <w:t>“</w:t>
      </w:r>
      <w:r w:rsidRPr="00E71263">
        <w:rPr>
          <w:rFonts w:ascii="Arial" w:hAnsi="Arial" w:cs="Arial"/>
          <w:bCs/>
          <w:i/>
          <w:sz w:val="24"/>
          <w:szCs w:val="24"/>
          <w:lang w:val="es-419"/>
        </w:rPr>
        <w:t>metodología de reconocido valor técnico para el cálculo de la provisión contable de los procesos judiciales, conciliaciones extrajudiciales y trámites arbitrales en contra de la entidad</w:t>
      </w:r>
      <w:r w:rsidRPr="00E71263">
        <w:rPr>
          <w:rFonts w:ascii="Arial" w:hAnsi="Arial" w:cs="Arial"/>
          <w:bCs/>
          <w:i/>
          <w:sz w:val="24"/>
          <w:szCs w:val="24"/>
          <w:lang w:val="es-CO"/>
        </w:rPr>
        <w:t>”</w:t>
      </w:r>
      <w:r w:rsidRPr="00E71263">
        <w:rPr>
          <w:rFonts w:ascii="Arial" w:hAnsi="Arial" w:cs="Arial"/>
          <w:bCs/>
          <w:i/>
          <w:sz w:val="24"/>
          <w:szCs w:val="24"/>
          <w:lang w:val="es-419"/>
        </w:rPr>
        <w:t>.</w:t>
      </w:r>
    </w:p>
    <w:p w14:paraId="4F65510C" w14:textId="77777777" w:rsidR="00D82601" w:rsidRPr="00E71263" w:rsidRDefault="00D82601" w:rsidP="00E71263">
      <w:pPr>
        <w:jc w:val="both"/>
        <w:rPr>
          <w:rFonts w:ascii="Arial" w:hAnsi="Arial" w:cs="Arial"/>
          <w:bCs/>
          <w:sz w:val="24"/>
          <w:szCs w:val="24"/>
          <w:lang w:val="es-419"/>
        </w:rPr>
      </w:pPr>
      <w:r w:rsidRPr="00E71263">
        <w:rPr>
          <w:rFonts w:ascii="Arial" w:hAnsi="Arial" w:cs="Arial"/>
          <w:bCs/>
          <w:sz w:val="24"/>
          <w:szCs w:val="24"/>
          <w:lang w:val="es-419"/>
        </w:rPr>
        <w:t xml:space="preserve"> </w:t>
      </w:r>
    </w:p>
    <w:p w14:paraId="7CE30B1A" w14:textId="77777777" w:rsidR="00D82601" w:rsidRPr="00E71263" w:rsidRDefault="00D82601" w:rsidP="00E71263">
      <w:pPr>
        <w:jc w:val="both"/>
        <w:rPr>
          <w:rFonts w:ascii="Arial" w:hAnsi="Arial" w:cs="Arial"/>
          <w:bCs/>
          <w:sz w:val="24"/>
          <w:szCs w:val="24"/>
          <w:lang w:val="es-419"/>
        </w:rPr>
      </w:pPr>
      <w:r w:rsidRPr="00E71263">
        <w:rPr>
          <w:rFonts w:ascii="Arial" w:hAnsi="Arial" w:cs="Arial"/>
          <w:bCs/>
          <w:sz w:val="24"/>
          <w:szCs w:val="24"/>
          <w:lang w:val="es-419"/>
        </w:rPr>
        <w:t xml:space="preserve">Que mediante la Resolución 116 del 6 de abril de 2017, emitida por la Contaduría General de la Nación, </w:t>
      </w:r>
      <w:r w:rsidRPr="00E71263">
        <w:rPr>
          <w:rFonts w:ascii="Arial" w:hAnsi="Arial" w:cs="Arial"/>
          <w:bCs/>
          <w:sz w:val="24"/>
          <w:szCs w:val="24"/>
          <w:lang w:val="es-CO"/>
        </w:rPr>
        <w:t>fue incorporado</w:t>
      </w:r>
      <w:r w:rsidRPr="00E71263">
        <w:rPr>
          <w:rFonts w:ascii="Arial" w:hAnsi="Arial" w:cs="Arial"/>
          <w:bCs/>
          <w:sz w:val="24"/>
          <w:szCs w:val="24"/>
          <w:lang w:val="es-419"/>
        </w:rPr>
        <w:t xml:space="preserve"> al “</w:t>
      </w:r>
      <w:r w:rsidRPr="00E71263">
        <w:rPr>
          <w:rFonts w:ascii="Arial" w:hAnsi="Arial" w:cs="Arial"/>
          <w:bCs/>
          <w:i/>
          <w:sz w:val="24"/>
          <w:szCs w:val="24"/>
          <w:lang w:val="es-CO"/>
        </w:rPr>
        <w:t>M</w:t>
      </w:r>
      <w:r w:rsidRPr="00E71263">
        <w:rPr>
          <w:rFonts w:ascii="Arial" w:hAnsi="Arial" w:cs="Arial"/>
          <w:bCs/>
          <w:i/>
          <w:sz w:val="24"/>
          <w:szCs w:val="24"/>
          <w:lang w:val="es-419"/>
        </w:rPr>
        <w:t>arco Normativo para Entidades de Gobierno, el Procedimiento contable para el registro de los procesos judiciales, arbitrajes, conciliaciones extrajudiciales y embargos sobre cuentas bancarias…”.</w:t>
      </w:r>
    </w:p>
    <w:p w14:paraId="2D2DEB2B" w14:textId="77777777" w:rsidR="00D82601" w:rsidRPr="00E71263" w:rsidRDefault="00D82601" w:rsidP="00E71263">
      <w:pPr>
        <w:jc w:val="both"/>
        <w:rPr>
          <w:rFonts w:ascii="Arial" w:hAnsi="Arial" w:cs="Arial"/>
          <w:bCs/>
          <w:sz w:val="24"/>
          <w:szCs w:val="24"/>
          <w:lang w:val="es-419"/>
        </w:rPr>
      </w:pPr>
    </w:p>
    <w:p w14:paraId="55A39AE0" w14:textId="7EEF2E5D" w:rsidR="00D82601" w:rsidRPr="00E71263" w:rsidRDefault="00D82601" w:rsidP="00E71263">
      <w:pPr>
        <w:jc w:val="both"/>
        <w:rPr>
          <w:rFonts w:ascii="Arial" w:hAnsi="Arial" w:cs="Arial"/>
          <w:bCs/>
          <w:sz w:val="24"/>
          <w:szCs w:val="24"/>
          <w:lang w:val="es-CO"/>
        </w:rPr>
      </w:pPr>
      <w:r w:rsidRPr="00E71263">
        <w:rPr>
          <w:rFonts w:ascii="Arial" w:hAnsi="Arial" w:cs="Arial"/>
          <w:bCs/>
          <w:sz w:val="24"/>
          <w:szCs w:val="24"/>
          <w:lang w:val="es-CO"/>
        </w:rPr>
        <w:t xml:space="preserve">Que dicha </w:t>
      </w:r>
      <w:r w:rsidR="00FF104C" w:rsidRPr="00E71263">
        <w:rPr>
          <w:rFonts w:ascii="Arial" w:hAnsi="Arial" w:cs="Arial"/>
          <w:bCs/>
          <w:sz w:val="24"/>
          <w:szCs w:val="24"/>
          <w:lang w:val="es-CO"/>
        </w:rPr>
        <w:t>r</w:t>
      </w:r>
      <w:r w:rsidRPr="00E71263">
        <w:rPr>
          <w:rFonts w:ascii="Arial" w:hAnsi="Arial" w:cs="Arial"/>
          <w:bCs/>
          <w:sz w:val="24"/>
          <w:szCs w:val="24"/>
          <w:lang w:val="es-CO"/>
        </w:rPr>
        <w:t>esolución incluye el reconocimiento de derechos y revelación de activos contingentes, el reconocimiento de obligaciones y revelación de pasivos contingentes, así como el registro de los embargos, títulos judiciales y pago de sentencias.</w:t>
      </w:r>
    </w:p>
    <w:p w14:paraId="00795D71" w14:textId="6FACEAF8" w:rsidR="00D82601" w:rsidRPr="00E71263" w:rsidRDefault="00D82601" w:rsidP="00E71263">
      <w:pPr>
        <w:jc w:val="both"/>
        <w:rPr>
          <w:rFonts w:ascii="Arial" w:hAnsi="Arial" w:cs="Arial"/>
          <w:bCs/>
          <w:sz w:val="24"/>
          <w:szCs w:val="24"/>
          <w:lang w:val="es-CO"/>
        </w:rPr>
      </w:pPr>
    </w:p>
    <w:p w14:paraId="57BF1105" w14:textId="5A06705D" w:rsidR="000F2632" w:rsidRPr="00E71263" w:rsidRDefault="000F2632" w:rsidP="00E71263">
      <w:pPr>
        <w:jc w:val="both"/>
        <w:rPr>
          <w:rFonts w:ascii="Arial" w:eastAsiaTheme="minorHAnsi" w:hAnsi="Arial" w:cs="Arial"/>
          <w:sz w:val="24"/>
          <w:szCs w:val="24"/>
          <w:lang w:val="es-CO" w:eastAsia="en-US"/>
        </w:rPr>
      </w:pPr>
      <w:r w:rsidRPr="00E71263">
        <w:rPr>
          <w:rFonts w:ascii="Arial" w:eastAsia="Calibri" w:hAnsi="Arial" w:cs="Arial"/>
          <w:sz w:val="24"/>
          <w:szCs w:val="24"/>
          <w:lang w:val="es-CO" w:eastAsia="es-CO"/>
        </w:rPr>
        <w:t xml:space="preserve">Que mediante </w:t>
      </w:r>
      <w:r w:rsidR="007A2C7C">
        <w:rPr>
          <w:rFonts w:ascii="Arial" w:eastAsia="Calibri" w:hAnsi="Arial" w:cs="Arial"/>
          <w:sz w:val="24"/>
          <w:szCs w:val="24"/>
          <w:lang w:val="es-CO" w:eastAsia="es-CO"/>
        </w:rPr>
        <w:t xml:space="preserve">la </w:t>
      </w:r>
      <w:r w:rsidR="00FF104C" w:rsidRPr="00E71263">
        <w:rPr>
          <w:rFonts w:ascii="Arial" w:eastAsia="Calibri" w:hAnsi="Arial" w:cs="Arial"/>
          <w:sz w:val="24"/>
          <w:szCs w:val="24"/>
          <w:lang w:val="es-CO" w:eastAsia="es-CO"/>
        </w:rPr>
        <w:t xml:space="preserve">Resolución </w:t>
      </w:r>
      <w:r w:rsidRPr="00E71263">
        <w:rPr>
          <w:rFonts w:ascii="Arial" w:eastAsia="Calibri" w:hAnsi="Arial" w:cs="Arial"/>
          <w:sz w:val="24"/>
          <w:szCs w:val="24"/>
          <w:lang w:val="es-CO" w:eastAsia="es-CO"/>
        </w:rPr>
        <w:t xml:space="preserve">3907 del 29 de diciembre de 2017 </w:t>
      </w:r>
      <w:r w:rsidR="002B3597" w:rsidRPr="00E71263">
        <w:rPr>
          <w:rFonts w:ascii="Arial" w:eastAsia="Calibri" w:hAnsi="Arial" w:cs="Arial"/>
          <w:sz w:val="24"/>
          <w:szCs w:val="24"/>
          <w:lang w:val="es-CO" w:eastAsia="es-CO"/>
        </w:rPr>
        <w:t xml:space="preserve">el Departamento </w:t>
      </w:r>
      <w:r w:rsidR="00FF104C" w:rsidRPr="00E71263">
        <w:rPr>
          <w:rFonts w:ascii="Arial" w:eastAsia="Calibri" w:hAnsi="Arial" w:cs="Arial"/>
          <w:sz w:val="24"/>
          <w:szCs w:val="24"/>
          <w:lang w:val="es-CO" w:eastAsia="es-CO"/>
        </w:rPr>
        <w:t>Administrativo</w:t>
      </w:r>
      <w:r w:rsidR="002B3597" w:rsidRPr="00E71263">
        <w:rPr>
          <w:rFonts w:ascii="Arial" w:eastAsia="Calibri" w:hAnsi="Arial" w:cs="Arial"/>
          <w:sz w:val="24"/>
          <w:szCs w:val="24"/>
          <w:lang w:val="es-CO" w:eastAsia="es-CO"/>
        </w:rPr>
        <w:t xml:space="preserve"> para la </w:t>
      </w:r>
      <w:r w:rsidRPr="00E71263">
        <w:rPr>
          <w:rFonts w:ascii="Arial" w:eastAsia="Calibri" w:hAnsi="Arial" w:cs="Arial"/>
          <w:sz w:val="24"/>
          <w:szCs w:val="24"/>
          <w:lang w:val="es-CO" w:eastAsia="es-CO"/>
        </w:rPr>
        <w:t>Prosperidad Social</w:t>
      </w:r>
      <w:r w:rsidR="00FF104C" w:rsidRPr="00E71263">
        <w:rPr>
          <w:rFonts w:ascii="Arial" w:eastAsia="Calibri" w:hAnsi="Arial" w:cs="Arial"/>
          <w:sz w:val="24"/>
          <w:szCs w:val="24"/>
          <w:lang w:val="es-CO" w:eastAsia="es-CO"/>
        </w:rPr>
        <w:t>- P</w:t>
      </w:r>
      <w:r w:rsidR="005E00DA" w:rsidRPr="00E71263">
        <w:rPr>
          <w:rFonts w:ascii="Arial" w:eastAsia="Calibri" w:hAnsi="Arial" w:cs="Arial"/>
          <w:sz w:val="24"/>
          <w:szCs w:val="24"/>
          <w:lang w:val="es-CO" w:eastAsia="es-CO"/>
        </w:rPr>
        <w:t xml:space="preserve">rosperidad Social, </w:t>
      </w:r>
      <w:r w:rsidRPr="00E71263">
        <w:rPr>
          <w:rFonts w:ascii="Arial" w:eastAsiaTheme="minorHAnsi" w:hAnsi="Arial" w:cs="Arial"/>
          <w:sz w:val="24"/>
          <w:szCs w:val="24"/>
          <w:lang w:val="es-CO" w:eastAsia="en-US"/>
        </w:rPr>
        <w:t>adoptó el documento Políticas Contables bajo el Nuevo Marco Normativo de Contabilidad Pública como Entidad de Gobierno.</w:t>
      </w:r>
    </w:p>
    <w:p w14:paraId="37ECD92B" w14:textId="145422A3" w:rsidR="000F2632" w:rsidRPr="00E71263" w:rsidRDefault="000F2632" w:rsidP="00E71263">
      <w:pPr>
        <w:jc w:val="both"/>
        <w:rPr>
          <w:rFonts w:ascii="Arial" w:eastAsiaTheme="minorHAnsi" w:hAnsi="Arial" w:cs="Arial"/>
          <w:sz w:val="24"/>
          <w:szCs w:val="24"/>
          <w:lang w:val="es-CO" w:eastAsia="en-US"/>
        </w:rPr>
      </w:pPr>
    </w:p>
    <w:p w14:paraId="7AC17CC9" w14:textId="7975FC30" w:rsidR="000F2632" w:rsidRPr="00E71263" w:rsidRDefault="00100D6D" w:rsidP="00E71263">
      <w:pPr>
        <w:jc w:val="both"/>
        <w:rPr>
          <w:rFonts w:ascii="Arial" w:eastAsiaTheme="minorHAnsi" w:hAnsi="Arial" w:cs="Arial"/>
          <w:sz w:val="24"/>
          <w:szCs w:val="24"/>
          <w:lang w:val="es-CO" w:eastAsia="en-US"/>
        </w:rPr>
      </w:pPr>
      <w:r w:rsidRPr="00E71263">
        <w:rPr>
          <w:rFonts w:ascii="Arial" w:eastAsiaTheme="minorHAnsi" w:hAnsi="Arial" w:cs="Arial"/>
          <w:sz w:val="24"/>
          <w:szCs w:val="24"/>
          <w:lang w:val="es-CO" w:eastAsia="en-US"/>
        </w:rPr>
        <w:t>Que</w:t>
      </w:r>
      <w:r w:rsidR="005409CC" w:rsidRPr="00E71263">
        <w:rPr>
          <w:rFonts w:ascii="Arial" w:eastAsiaTheme="minorHAnsi" w:hAnsi="Arial" w:cs="Arial"/>
          <w:sz w:val="24"/>
          <w:szCs w:val="24"/>
          <w:lang w:val="es-CO" w:eastAsia="en-US"/>
        </w:rPr>
        <w:t xml:space="preserve"> </w:t>
      </w:r>
      <w:r w:rsidR="0087286B" w:rsidRPr="00E71263">
        <w:rPr>
          <w:rFonts w:ascii="Arial" w:eastAsiaTheme="minorHAnsi" w:hAnsi="Arial" w:cs="Arial"/>
          <w:sz w:val="24"/>
          <w:szCs w:val="24"/>
          <w:lang w:val="es-CO" w:eastAsia="en-US"/>
        </w:rPr>
        <w:t>Prosperidad Social</w:t>
      </w:r>
      <w:r w:rsidRPr="00E71263">
        <w:rPr>
          <w:rFonts w:ascii="Arial" w:eastAsiaTheme="minorHAnsi" w:hAnsi="Arial" w:cs="Arial"/>
          <w:sz w:val="24"/>
          <w:szCs w:val="24"/>
          <w:lang w:val="es-CO" w:eastAsia="en-US"/>
        </w:rPr>
        <w:t xml:space="preserve"> </w:t>
      </w:r>
      <w:r w:rsidR="005409CC" w:rsidRPr="00E71263">
        <w:rPr>
          <w:rFonts w:ascii="Arial" w:eastAsiaTheme="minorHAnsi" w:hAnsi="Arial" w:cs="Arial"/>
          <w:sz w:val="24"/>
          <w:szCs w:val="24"/>
          <w:lang w:val="es-CO" w:eastAsia="en-US"/>
        </w:rPr>
        <w:t>mediante la Resolución 2279 del 25 de septiembre de 2018 “</w:t>
      </w:r>
      <w:r w:rsidR="005409CC" w:rsidRPr="00E71263">
        <w:rPr>
          <w:rFonts w:ascii="Arial" w:eastAsiaTheme="minorHAnsi" w:hAnsi="Arial" w:cs="Arial"/>
          <w:i/>
          <w:iCs/>
          <w:sz w:val="24"/>
          <w:szCs w:val="24"/>
          <w:lang w:val="es-CO" w:eastAsia="en-US"/>
        </w:rPr>
        <w:t>adopta la guía para el cálculo de provisiones y reconocimiento contable de los procesos judiciales, arbitramentos y conciliaciones extrajudiciales en los que la entidad es parte y embargos de cuentas bancarias en Prosperidad Social</w:t>
      </w:r>
      <w:r w:rsidR="005409CC" w:rsidRPr="00E71263">
        <w:rPr>
          <w:rFonts w:ascii="Arial" w:eastAsiaTheme="minorHAnsi" w:hAnsi="Arial" w:cs="Arial"/>
          <w:sz w:val="24"/>
          <w:szCs w:val="24"/>
          <w:lang w:val="es-CO" w:eastAsia="en-US"/>
        </w:rPr>
        <w:t>"</w:t>
      </w:r>
      <w:r w:rsidR="00037BC2" w:rsidRPr="00E71263">
        <w:rPr>
          <w:rFonts w:ascii="Arial" w:eastAsiaTheme="minorHAnsi" w:hAnsi="Arial" w:cs="Arial"/>
          <w:sz w:val="24"/>
          <w:szCs w:val="24"/>
          <w:lang w:val="es-CO" w:eastAsia="en-US"/>
        </w:rPr>
        <w:t>.</w:t>
      </w:r>
    </w:p>
    <w:p w14:paraId="0C3BDEBF" w14:textId="77777777" w:rsidR="005409CC" w:rsidRPr="00E71263" w:rsidRDefault="005409CC" w:rsidP="00E71263">
      <w:pPr>
        <w:jc w:val="both"/>
        <w:rPr>
          <w:rFonts w:ascii="Arial" w:hAnsi="Arial" w:cs="Arial"/>
          <w:bCs/>
          <w:sz w:val="24"/>
          <w:szCs w:val="24"/>
          <w:lang w:val="es-CO"/>
        </w:rPr>
      </w:pPr>
    </w:p>
    <w:p w14:paraId="3D5C11F4" w14:textId="26FE26B7" w:rsidR="00A60AEF" w:rsidRPr="00E71263" w:rsidRDefault="00A60AEF" w:rsidP="00E71263">
      <w:pPr>
        <w:jc w:val="both"/>
        <w:rPr>
          <w:rFonts w:ascii="Arial" w:hAnsi="Arial" w:cs="Arial"/>
          <w:bCs/>
          <w:i/>
          <w:iCs/>
          <w:sz w:val="24"/>
          <w:szCs w:val="24"/>
          <w:lang w:val="es-CO"/>
        </w:rPr>
      </w:pPr>
      <w:r w:rsidRPr="00E71263">
        <w:rPr>
          <w:rFonts w:ascii="Arial" w:hAnsi="Arial" w:cs="Arial"/>
          <w:bCs/>
          <w:sz w:val="24"/>
          <w:szCs w:val="24"/>
          <w:lang w:val="es-CO"/>
        </w:rPr>
        <w:t xml:space="preserve">Que </w:t>
      </w:r>
      <w:r w:rsidR="00FB009A" w:rsidRPr="00E71263">
        <w:rPr>
          <w:rFonts w:ascii="Arial" w:hAnsi="Arial" w:cs="Arial"/>
          <w:bCs/>
          <w:sz w:val="24"/>
          <w:szCs w:val="24"/>
          <w:lang w:val="es-CO"/>
        </w:rPr>
        <w:t>e</w:t>
      </w:r>
      <w:r w:rsidRPr="00E71263">
        <w:rPr>
          <w:rFonts w:ascii="Arial" w:hAnsi="Arial" w:cs="Arial"/>
          <w:bCs/>
          <w:sz w:val="24"/>
          <w:szCs w:val="24"/>
          <w:lang w:val="es-CO"/>
        </w:rPr>
        <w:t xml:space="preserve">l Contador General de la Nación expidió la Resolución 080 de 2021 </w:t>
      </w:r>
      <w:r w:rsidRPr="00E71263">
        <w:rPr>
          <w:rFonts w:ascii="Arial" w:hAnsi="Arial" w:cs="Arial"/>
          <w:bCs/>
          <w:i/>
          <w:iCs/>
          <w:sz w:val="24"/>
          <w:szCs w:val="24"/>
          <w:lang w:val="es-CO"/>
        </w:rPr>
        <w:t>“Por la cual se modifica el Procedimiento contable para el registro de los procesos judiciales, arbitrajes, conciliaciones extrajudiciales y embargos sobre cuentas bancarias, del Marco Normativo para Entidades de Gobierno”</w:t>
      </w:r>
      <w:r w:rsidR="0024611B" w:rsidRPr="00E71263">
        <w:rPr>
          <w:rFonts w:ascii="Arial" w:hAnsi="Arial" w:cs="Arial"/>
          <w:bCs/>
          <w:i/>
          <w:iCs/>
          <w:sz w:val="24"/>
          <w:szCs w:val="24"/>
          <w:lang w:val="es-CO"/>
        </w:rPr>
        <w:t>.</w:t>
      </w:r>
    </w:p>
    <w:p w14:paraId="24CAD0B2" w14:textId="77777777" w:rsidR="00A60AEF" w:rsidRPr="00E71263" w:rsidRDefault="00A60AEF" w:rsidP="00E71263">
      <w:pPr>
        <w:jc w:val="both"/>
        <w:rPr>
          <w:rFonts w:ascii="Arial" w:hAnsi="Arial" w:cs="Arial"/>
          <w:bCs/>
          <w:sz w:val="24"/>
          <w:szCs w:val="24"/>
          <w:lang w:val="es-CO"/>
        </w:rPr>
      </w:pPr>
    </w:p>
    <w:p w14:paraId="30A526C4" w14:textId="1AE7E496" w:rsidR="00BA6E64" w:rsidRPr="00E71263" w:rsidRDefault="008711FC" w:rsidP="00E71263">
      <w:pPr>
        <w:jc w:val="both"/>
        <w:rPr>
          <w:rFonts w:ascii="Arial" w:hAnsi="Arial" w:cs="Arial"/>
          <w:bCs/>
          <w:sz w:val="24"/>
          <w:szCs w:val="24"/>
          <w:lang w:val="es-CO"/>
        </w:rPr>
      </w:pPr>
      <w:r w:rsidRPr="00E71263">
        <w:rPr>
          <w:rFonts w:ascii="Arial" w:hAnsi="Arial" w:cs="Arial"/>
          <w:bCs/>
          <w:sz w:val="24"/>
          <w:szCs w:val="24"/>
          <w:lang w:val="es-CO"/>
        </w:rPr>
        <w:lastRenderedPageBreak/>
        <w:t>Que el</w:t>
      </w:r>
      <w:r w:rsidR="00A60AEF" w:rsidRPr="00E71263">
        <w:rPr>
          <w:rFonts w:ascii="Arial" w:hAnsi="Arial" w:cs="Arial"/>
          <w:bCs/>
          <w:sz w:val="24"/>
          <w:szCs w:val="24"/>
          <w:lang w:val="es-CO"/>
        </w:rPr>
        <w:t xml:space="preserve"> producto de las mejoras </w:t>
      </w:r>
      <w:r w:rsidR="00214513" w:rsidRPr="00E71263">
        <w:rPr>
          <w:rFonts w:ascii="Arial" w:hAnsi="Arial" w:cs="Arial"/>
          <w:bCs/>
          <w:sz w:val="24"/>
          <w:szCs w:val="24"/>
          <w:lang w:val="es-CO"/>
        </w:rPr>
        <w:t xml:space="preserve">realizadas por la </w:t>
      </w:r>
      <w:r w:rsidR="007A2C7C" w:rsidRPr="00E71263">
        <w:rPr>
          <w:rFonts w:ascii="Arial" w:hAnsi="Arial" w:cs="Arial"/>
          <w:bCs/>
          <w:sz w:val="24"/>
          <w:szCs w:val="24"/>
          <w:lang w:val="es-CO"/>
        </w:rPr>
        <w:t>Contad</w:t>
      </w:r>
      <w:r w:rsidR="007A2C7C">
        <w:rPr>
          <w:rFonts w:ascii="Arial" w:hAnsi="Arial" w:cs="Arial"/>
          <w:bCs/>
          <w:sz w:val="24"/>
          <w:szCs w:val="24"/>
          <w:lang w:val="es-CO"/>
        </w:rPr>
        <w:t>u</w:t>
      </w:r>
      <w:r w:rsidR="007A2C7C" w:rsidRPr="00E71263">
        <w:rPr>
          <w:rFonts w:ascii="Arial" w:hAnsi="Arial" w:cs="Arial"/>
          <w:bCs/>
          <w:sz w:val="24"/>
          <w:szCs w:val="24"/>
          <w:lang w:val="es-CO"/>
        </w:rPr>
        <w:t>r</w:t>
      </w:r>
      <w:r w:rsidR="007A2C7C">
        <w:rPr>
          <w:rFonts w:ascii="Arial" w:hAnsi="Arial" w:cs="Arial"/>
          <w:bCs/>
          <w:sz w:val="24"/>
          <w:szCs w:val="24"/>
          <w:lang w:val="es-CO"/>
        </w:rPr>
        <w:t>ía</w:t>
      </w:r>
      <w:r w:rsidR="007A2C7C" w:rsidRPr="00E71263">
        <w:rPr>
          <w:rFonts w:ascii="Arial" w:hAnsi="Arial" w:cs="Arial"/>
          <w:bCs/>
          <w:sz w:val="24"/>
          <w:szCs w:val="24"/>
          <w:lang w:val="es-CO"/>
        </w:rPr>
        <w:t xml:space="preserve"> General de la Nación</w:t>
      </w:r>
      <w:r w:rsidR="00214513" w:rsidRPr="00E71263">
        <w:rPr>
          <w:rFonts w:ascii="Arial" w:hAnsi="Arial" w:cs="Arial"/>
          <w:bCs/>
          <w:sz w:val="24"/>
          <w:szCs w:val="24"/>
          <w:lang w:val="es-CO"/>
        </w:rPr>
        <w:t xml:space="preserve"> </w:t>
      </w:r>
      <w:r w:rsidR="00A60AEF" w:rsidRPr="00E71263">
        <w:rPr>
          <w:rFonts w:ascii="Arial" w:hAnsi="Arial" w:cs="Arial"/>
          <w:bCs/>
          <w:sz w:val="24"/>
          <w:szCs w:val="24"/>
          <w:lang w:val="es-CO"/>
        </w:rPr>
        <w:t xml:space="preserve">conlleva los procesos de regulación originadas en 1) la expedición de regulación de carácter general que </w:t>
      </w:r>
      <w:r w:rsidR="002876BF">
        <w:rPr>
          <w:rFonts w:ascii="Arial" w:hAnsi="Arial" w:cs="Arial"/>
          <w:bCs/>
          <w:sz w:val="24"/>
          <w:szCs w:val="24"/>
          <w:lang w:val="es-CO"/>
        </w:rPr>
        <w:t>creó</w:t>
      </w:r>
      <w:r w:rsidR="00A60AEF" w:rsidRPr="00E71263">
        <w:rPr>
          <w:rFonts w:ascii="Arial" w:hAnsi="Arial" w:cs="Arial"/>
          <w:bCs/>
          <w:sz w:val="24"/>
          <w:szCs w:val="24"/>
          <w:lang w:val="es-CO"/>
        </w:rPr>
        <w:t xml:space="preserve"> nuevos hechos económicos relacionados con el pago de sentencias y conciliaciones debidamente ejecutoriadas y sus intereses que se encuentren en mora, de las entidades </w:t>
      </w:r>
      <w:r w:rsidR="002876BF">
        <w:rPr>
          <w:rFonts w:ascii="Arial" w:hAnsi="Arial" w:cs="Arial"/>
          <w:bCs/>
          <w:sz w:val="24"/>
          <w:szCs w:val="24"/>
          <w:lang w:val="es-CO"/>
        </w:rPr>
        <w:t xml:space="preserve">que conforman </w:t>
      </w:r>
      <w:r w:rsidR="00A60AEF" w:rsidRPr="00E71263">
        <w:rPr>
          <w:rFonts w:ascii="Arial" w:hAnsi="Arial" w:cs="Arial"/>
          <w:bCs/>
          <w:sz w:val="24"/>
          <w:szCs w:val="24"/>
          <w:lang w:val="es-CO"/>
        </w:rPr>
        <w:t xml:space="preserve">el Presupuesto General de la Nación, así como con la realización de aportes al fondo de contingencias; 2) la retroalimentación de las entidades públicas; y 3) la revisión interna de la </w:t>
      </w:r>
      <w:r w:rsidR="002876BF" w:rsidRPr="00E71263">
        <w:rPr>
          <w:rFonts w:ascii="Arial" w:hAnsi="Arial" w:cs="Arial"/>
          <w:bCs/>
          <w:sz w:val="24"/>
          <w:szCs w:val="24"/>
          <w:lang w:val="es-CO"/>
        </w:rPr>
        <w:t>Contad</w:t>
      </w:r>
      <w:r w:rsidR="002876BF">
        <w:rPr>
          <w:rFonts w:ascii="Arial" w:hAnsi="Arial" w:cs="Arial"/>
          <w:bCs/>
          <w:sz w:val="24"/>
          <w:szCs w:val="24"/>
          <w:lang w:val="es-CO"/>
        </w:rPr>
        <w:t>u</w:t>
      </w:r>
      <w:r w:rsidR="002876BF" w:rsidRPr="00E71263">
        <w:rPr>
          <w:rFonts w:ascii="Arial" w:hAnsi="Arial" w:cs="Arial"/>
          <w:bCs/>
          <w:sz w:val="24"/>
          <w:szCs w:val="24"/>
          <w:lang w:val="es-CO"/>
        </w:rPr>
        <w:t>r</w:t>
      </w:r>
      <w:r w:rsidR="002876BF">
        <w:rPr>
          <w:rFonts w:ascii="Arial" w:hAnsi="Arial" w:cs="Arial"/>
          <w:bCs/>
          <w:sz w:val="24"/>
          <w:szCs w:val="24"/>
          <w:lang w:val="es-CO"/>
        </w:rPr>
        <w:t>ía</w:t>
      </w:r>
      <w:r w:rsidR="002876BF" w:rsidRPr="00E71263">
        <w:rPr>
          <w:rFonts w:ascii="Arial" w:hAnsi="Arial" w:cs="Arial"/>
          <w:bCs/>
          <w:sz w:val="24"/>
          <w:szCs w:val="24"/>
          <w:lang w:val="es-CO"/>
        </w:rPr>
        <w:t xml:space="preserve"> General de la Nación</w:t>
      </w:r>
      <w:r w:rsidR="00A60AEF" w:rsidRPr="00E71263">
        <w:rPr>
          <w:rFonts w:ascii="Arial" w:hAnsi="Arial" w:cs="Arial"/>
          <w:bCs/>
          <w:sz w:val="24"/>
          <w:szCs w:val="24"/>
          <w:lang w:val="es-CO"/>
        </w:rPr>
        <w:t>, que condujo a incorporar hechos económicos que no se habían regulado contablemente y a precisar algunos términos, se modificó el Procedimiento contable para el registro de los procesos judiciales, arbitrajes, conciliaciones extrajudiciales y embargos sobre cuentas bancarias, del Marco Normativo para Entidades de Gobierno.</w:t>
      </w:r>
    </w:p>
    <w:p w14:paraId="687C1644" w14:textId="77777777" w:rsidR="00C84524" w:rsidRPr="00E71263" w:rsidRDefault="00C84524" w:rsidP="00E71263">
      <w:pPr>
        <w:widowControl/>
        <w:adjustRightInd w:val="0"/>
        <w:jc w:val="both"/>
        <w:rPr>
          <w:rFonts w:ascii="Arial" w:eastAsia="Calibri" w:hAnsi="Arial" w:cs="Arial"/>
          <w:sz w:val="24"/>
          <w:szCs w:val="24"/>
          <w:lang w:val="es-CO" w:eastAsia="es-CO"/>
        </w:rPr>
      </w:pPr>
    </w:p>
    <w:p w14:paraId="2AF9F06F" w14:textId="0F45167B" w:rsidR="000F2632" w:rsidRPr="00E71263" w:rsidRDefault="000F2632" w:rsidP="00E71263">
      <w:pPr>
        <w:widowControl/>
        <w:adjustRightInd w:val="0"/>
        <w:jc w:val="both"/>
        <w:rPr>
          <w:rFonts w:ascii="Arial" w:eastAsia="Calibri" w:hAnsi="Arial" w:cs="Arial"/>
          <w:sz w:val="24"/>
          <w:szCs w:val="24"/>
          <w:lang w:val="es-CO" w:eastAsia="es-CO"/>
        </w:rPr>
      </w:pPr>
      <w:r w:rsidRPr="00E71263">
        <w:rPr>
          <w:rFonts w:ascii="Arial" w:eastAsia="Calibri" w:hAnsi="Arial" w:cs="Arial"/>
          <w:sz w:val="24"/>
          <w:szCs w:val="24"/>
          <w:lang w:val="es-CO" w:eastAsia="es-CO"/>
        </w:rPr>
        <w:t xml:space="preserve">Que </w:t>
      </w:r>
      <w:r w:rsidR="00214811" w:rsidRPr="00E71263">
        <w:rPr>
          <w:rFonts w:ascii="Arial" w:eastAsia="Calibri" w:hAnsi="Arial" w:cs="Arial"/>
          <w:sz w:val="24"/>
          <w:szCs w:val="24"/>
          <w:lang w:val="es-CO" w:eastAsia="es-CO"/>
        </w:rPr>
        <w:t xml:space="preserve">por lo anterior </w:t>
      </w:r>
      <w:r w:rsidRPr="00E71263">
        <w:rPr>
          <w:rFonts w:ascii="Arial" w:eastAsia="Calibri" w:hAnsi="Arial" w:cs="Arial"/>
          <w:sz w:val="24"/>
          <w:szCs w:val="24"/>
          <w:lang w:val="es-CO" w:eastAsia="es-CO"/>
        </w:rPr>
        <w:t>es necesario actualizar el proceso interno con las actuales directrices para identificar y calificar los riesgos de conformidad con las pretensiones determinadas en los procesos en los que la entidad es parte</w:t>
      </w:r>
      <w:r w:rsidR="008A0C08" w:rsidRPr="00E71263">
        <w:rPr>
          <w:rFonts w:ascii="Arial" w:eastAsia="Calibri" w:hAnsi="Arial" w:cs="Arial"/>
          <w:sz w:val="24"/>
          <w:szCs w:val="24"/>
          <w:lang w:val="es-CO" w:eastAsia="es-CO"/>
        </w:rPr>
        <w:t xml:space="preserve"> y que se encuentran</w:t>
      </w:r>
      <w:r w:rsidR="005903AC" w:rsidRPr="00E71263">
        <w:rPr>
          <w:rFonts w:ascii="Arial" w:eastAsia="Calibri" w:hAnsi="Arial" w:cs="Arial"/>
          <w:sz w:val="24"/>
          <w:szCs w:val="24"/>
          <w:lang w:val="es-CO" w:eastAsia="es-CO"/>
        </w:rPr>
        <w:t xml:space="preserve"> contenidos en la “</w:t>
      </w:r>
      <w:r w:rsidR="00D1584B" w:rsidRPr="00E71263">
        <w:rPr>
          <w:rFonts w:ascii="Arial" w:eastAsiaTheme="minorHAnsi" w:hAnsi="Arial" w:cs="Arial"/>
          <w:i/>
          <w:iCs/>
          <w:sz w:val="24"/>
          <w:szCs w:val="24"/>
          <w:lang w:val="es-CO" w:eastAsia="en-US"/>
        </w:rPr>
        <w:t>guía para el cálculo de provisiones y reconocimiento contable de los procesos judiciales, arbitramentos y conciliaciones extrajudiciales en los que la entidad es parte y embargos de cuentas bancarias en Prosperidad Social”,</w:t>
      </w:r>
      <w:r w:rsidR="00D1584B" w:rsidRPr="00E71263">
        <w:rPr>
          <w:rFonts w:ascii="Arial" w:eastAsiaTheme="minorHAnsi" w:hAnsi="Arial" w:cs="Arial"/>
          <w:sz w:val="24"/>
          <w:szCs w:val="24"/>
          <w:lang w:val="es-CO" w:eastAsia="en-US"/>
        </w:rPr>
        <w:t xml:space="preserve"> adoptada mediante la Resolución 2279 del 25 de septiembre de 2018</w:t>
      </w:r>
      <w:r w:rsidRPr="00E71263">
        <w:rPr>
          <w:rFonts w:ascii="Arial" w:eastAsia="Calibri" w:hAnsi="Arial" w:cs="Arial"/>
          <w:sz w:val="24"/>
          <w:szCs w:val="24"/>
          <w:lang w:val="es-CO" w:eastAsia="es-CO"/>
        </w:rPr>
        <w:t>.</w:t>
      </w:r>
    </w:p>
    <w:p w14:paraId="102AB14E" w14:textId="77777777" w:rsidR="00D1584B" w:rsidRPr="00E71263" w:rsidRDefault="00D1584B" w:rsidP="00E71263">
      <w:pPr>
        <w:widowControl/>
        <w:adjustRightInd w:val="0"/>
        <w:jc w:val="both"/>
        <w:rPr>
          <w:rFonts w:ascii="Arial" w:eastAsia="Calibri" w:hAnsi="Arial" w:cs="Arial"/>
          <w:sz w:val="24"/>
          <w:szCs w:val="24"/>
          <w:lang w:val="es-CO" w:eastAsia="es-CO"/>
        </w:rPr>
      </w:pPr>
    </w:p>
    <w:p w14:paraId="1B9901C0" w14:textId="360A472C" w:rsidR="00D82601" w:rsidRPr="00E71263" w:rsidRDefault="00D82601" w:rsidP="00E71263">
      <w:pPr>
        <w:jc w:val="both"/>
        <w:rPr>
          <w:rFonts w:ascii="Arial" w:hAnsi="Arial" w:cs="Arial"/>
          <w:bCs/>
          <w:sz w:val="24"/>
          <w:szCs w:val="24"/>
          <w:lang w:val="es-419"/>
        </w:rPr>
      </w:pPr>
      <w:r w:rsidRPr="00E71263">
        <w:rPr>
          <w:rFonts w:ascii="Arial" w:hAnsi="Arial" w:cs="Arial"/>
          <w:bCs/>
          <w:sz w:val="24"/>
          <w:szCs w:val="24"/>
          <w:lang w:val="es-419"/>
        </w:rPr>
        <w:t xml:space="preserve">Que en mérito de lo expuesto, </w:t>
      </w:r>
    </w:p>
    <w:p w14:paraId="2F8BEEE0" w14:textId="77777777" w:rsidR="00AA2D57" w:rsidRDefault="00AA2D57" w:rsidP="00E71263">
      <w:pPr>
        <w:jc w:val="center"/>
        <w:rPr>
          <w:rFonts w:ascii="Arial" w:hAnsi="Arial" w:cs="Arial"/>
          <w:b/>
          <w:bCs/>
          <w:sz w:val="24"/>
          <w:szCs w:val="24"/>
          <w:lang w:val="es-419"/>
        </w:rPr>
      </w:pPr>
    </w:p>
    <w:p w14:paraId="57E4DBEB" w14:textId="24DC3938" w:rsidR="00D82601" w:rsidRPr="00E71263" w:rsidRDefault="00D82601" w:rsidP="00E71263">
      <w:pPr>
        <w:jc w:val="center"/>
        <w:rPr>
          <w:rFonts w:ascii="Arial" w:hAnsi="Arial" w:cs="Arial"/>
          <w:b/>
          <w:bCs/>
          <w:sz w:val="24"/>
          <w:szCs w:val="24"/>
          <w:lang w:val="es-419"/>
        </w:rPr>
      </w:pPr>
      <w:r w:rsidRPr="00E71263">
        <w:rPr>
          <w:rFonts w:ascii="Arial" w:hAnsi="Arial" w:cs="Arial"/>
          <w:b/>
          <w:bCs/>
          <w:sz w:val="24"/>
          <w:szCs w:val="24"/>
          <w:lang w:val="es-419"/>
        </w:rPr>
        <w:t>RESUELVE</w:t>
      </w:r>
    </w:p>
    <w:p w14:paraId="01D5B6EB" w14:textId="77777777" w:rsidR="00D82601" w:rsidRPr="00E71263" w:rsidRDefault="00D82601" w:rsidP="00E71263">
      <w:pPr>
        <w:widowControl/>
        <w:adjustRightInd w:val="0"/>
        <w:jc w:val="both"/>
        <w:rPr>
          <w:rFonts w:ascii="Arial" w:eastAsia="Calibri" w:hAnsi="Arial" w:cs="Arial"/>
          <w:sz w:val="24"/>
          <w:szCs w:val="24"/>
          <w:lang w:val="es-CO" w:eastAsia="es-CO"/>
        </w:rPr>
      </w:pPr>
    </w:p>
    <w:p w14:paraId="0D44927C" w14:textId="331F4284" w:rsidR="00C84524" w:rsidRPr="00E71263" w:rsidRDefault="00EA7DDE" w:rsidP="00E71263">
      <w:pPr>
        <w:widowControl/>
        <w:adjustRightInd w:val="0"/>
        <w:jc w:val="both"/>
        <w:rPr>
          <w:rFonts w:ascii="Arial" w:eastAsiaTheme="minorHAnsi" w:hAnsi="Arial" w:cs="Arial"/>
          <w:sz w:val="24"/>
          <w:szCs w:val="24"/>
          <w:lang w:val="es-CO" w:eastAsia="en-US"/>
        </w:rPr>
      </w:pPr>
      <w:r w:rsidRPr="00E71263">
        <w:rPr>
          <w:rFonts w:ascii="Arial" w:eastAsia="Calibri" w:hAnsi="Arial" w:cs="Arial"/>
          <w:b/>
          <w:sz w:val="24"/>
          <w:szCs w:val="24"/>
          <w:lang w:val="es-CO" w:eastAsia="es-CO"/>
        </w:rPr>
        <w:t xml:space="preserve">Artículo </w:t>
      </w:r>
      <w:r w:rsidR="00D82601" w:rsidRPr="00E71263">
        <w:rPr>
          <w:rFonts w:ascii="Arial" w:eastAsia="Calibri" w:hAnsi="Arial" w:cs="Arial"/>
          <w:b/>
          <w:sz w:val="24"/>
          <w:szCs w:val="24"/>
          <w:lang w:val="es-CO" w:eastAsia="es-CO"/>
        </w:rPr>
        <w:t>1</w:t>
      </w:r>
      <w:r w:rsidR="0022335A">
        <w:rPr>
          <w:rFonts w:ascii="Arial" w:eastAsia="Calibri" w:hAnsi="Arial" w:cs="Arial"/>
          <w:b/>
          <w:sz w:val="24"/>
          <w:szCs w:val="24"/>
          <w:lang w:val="es-CO" w:eastAsia="es-CO"/>
        </w:rPr>
        <w:t>.</w:t>
      </w:r>
      <w:r w:rsidR="00D82601" w:rsidRPr="00E71263">
        <w:rPr>
          <w:rFonts w:ascii="Arial" w:eastAsia="Calibri" w:hAnsi="Arial" w:cs="Arial"/>
          <w:b/>
          <w:sz w:val="24"/>
          <w:szCs w:val="24"/>
          <w:lang w:val="es-CO" w:eastAsia="es-CO"/>
        </w:rPr>
        <w:t xml:space="preserve"> </w:t>
      </w:r>
      <w:r w:rsidR="0070411C" w:rsidRPr="00EA7DDE">
        <w:rPr>
          <w:rFonts w:ascii="Arial" w:eastAsia="Calibri" w:hAnsi="Arial" w:cs="Arial"/>
          <w:b/>
          <w:sz w:val="24"/>
          <w:szCs w:val="24"/>
          <w:lang w:val="es-CO" w:eastAsia="es-CO"/>
        </w:rPr>
        <w:t>Modifica</w:t>
      </w:r>
      <w:r>
        <w:rPr>
          <w:rFonts w:ascii="Arial" w:eastAsia="Calibri" w:hAnsi="Arial" w:cs="Arial"/>
          <w:b/>
          <w:sz w:val="24"/>
          <w:szCs w:val="24"/>
          <w:lang w:val="es-CO" w:eastAsia="es-CO"/>
        </w:rPr>
        <w:t xml:space="preserve">ción. </w:t>
      </w:r>
      <w:r w:rsidRPr="00EA7DDE">
        <w:rPr>
          <w:rFonts w:ascii="Arial" w:eastAsia="Calibri" w:hAnsi="Arial" w:cs="Arial"/>
          <w:bCs/>
          <w:sz w:val="24"/>
          <w:szCs w:val="24"/>
          <w:lang w:val="es-CO" w:eastAsia="es-CO"/>
        </w:rPr>
        <w:t>Modificar</w:t>
      </w:r>
      <w:r w:rsidR="0070411C" w:rsidRPr="00E71263">
        <w:rPr>
          <w:rFonts w:ascii="Arial" w:eastAsia="Calibri" w:hAnsi="Arial" w:cs="Arial"/>
          <w:b/>
          <w:sz w:val="24"/>
          <w:szCs w:val="24"/>
          <w:lang w:val="es-CO" w:eastAsia="es-CO"/>
        </w:rPr>
        <w:t xml:space="preserve"> </w:t>
      </w:r>
      <w:r w:rsidR="00C84524" w:rsidRPr="00E71263">
        <w:rPr>
          <w:rFonts w:ascii="Arial" w:eastAsiaTheme="minorHAnsi" w:hAnsi="Arial" w:cs="Arial"/>
          <w:sz w:val="24"/>
          <w:szCs w:val="24"/>
          <w:lang w:val="es-CO" w:eastAsia="en-US"/>
        </w:rPr>
        <w:t>la</w:t>
      </w:r>
      <w:r w:rsidR="00C84524" w:rsidRPr="00E71263">
        <w:rPr>
          <w:rFonts w:ascii="Arial" w:eastAsiaTheme="minorHAnsi" w:hAnsi="Arial" w:cs="Arial"/>
          <w:i/>
          <w:iCs/>
          <w:sz w:val="24"/>
          <w:szCs w:val="24"/>
          <w:lang w:val="es-CO" w:eastAsia="en-US"/>
        </w:rPr>
        <w:t xml:space="preserve"> guía para el cálculo de provisiones y reconocimiento contable de los procesos judiciales, arbitramentos y conciliaciones extrajudiciales en los que la entidad es parte y embargos de cuentas bancarias en Prosperidad Socia</w:t>
      </w:r>
      <w:r w:rsidR="0022335A">
        <w:rPr>
          <w:rFonts w:ascii="Arial" w:eastAsiaTheme="minorHAnsi" w:hAnsi="Arial" w:cs="Arial"/>
          <w:i/>
          <w:iCs/>
          <w:sz w:val="24"/>
          <w:szCs w:val="24"/>
          <w:lang w:val="es-CO" w:eastAsia="en-US"/>
        </w:rPr>
        <w:t>l</w:t>
      </w:r>
      <w:r w:rsidR="00C84524" w:rsidRPr="00E71263">
        <w:rPr>
          <w:rFonts w:ascii="Arial" w:eastAsiaTheme="minorHAnsi" w:hAnsi="Arial" w:cs="Arial"/>
          <w:i/>
          <w:iCs/>
          <w:sz w:val="24"/>
          <w:szCs w:val="24"/>
          <w:lang w:val="es-CO" w:eastAsia="en-US"/>
        </w:rPr>
        <w:t xml:space="preserve"> </w:t>
      </w:r>
      <w:r w:rsidR="00C84524" w:rsidRPr="0022335A">
        <w:rPr>
          <w:rFonts w:ascii="Arial" w:eastAsiaTheme="minorHAnsi" w:hAnsi="Arial" w:cs="Arial"/>
          <w:sz w:val="24"/>
          <w:szCs w:val="24"/>
          <w:lang w:val="es-CO" w:eastAsia="en-US"/>
        </w:rPr>
        <w:t xml:space="preserve">adoptada mediante </w:t>
      </w:r>
      <w:r w:rsidR="0022335A">
        <w:rPr>
          <w:rFonts w:ascii="Arial" w:eastAsiaTheme="minorHAnsi" w:hAnsi="Arial" w:cs="Arial"/>
          <w:sz w:val="24"/>
          <w:szCs w:val="24"/>
          <w:lang w:val="es-CO" w:eastAsia="en-US"/>
        </w:rPr>
        <w:t xml:space="preserve">la </w:t>
      </w:r>
      <w:r w:rsidR="0070411C" w:rsidRPr="00E71263">
        <w:rPr>
          <w:rFonts w:ascii="Arial" w:eastAsiaTheme="minorHAnsi" w:hAnsi="Arial" w:cs="Arial"/>
          <w:sz w:val="24"/>
          <w:szCs w:val="24"/>
          <w:lang w:val="es-CO" w:eastAsia="en-US"/>
        </w:rPr>
        <w:t>Resolución 2279 del 25 de septiembre de 2018</w:t>
      </w:r>
      <w:r w:rsidR="00C84524" w:rsidRPr="00E71263">
        <w:rPr>
          <w:rFonts w:ascii="Arial" w:eastAsiaTheme="minorHAnsi" w:hAnsi="Arial" w:cs="Arial"/>
          <w:sz w:val="24"/>
          <w:szCs w:val="24"/>
          <w:lang w:val="es-CO" w:eastAsia="en-US"/>
        </w:rPr>
        <w:t xml:space="preserve">, para incluir las disposiciones contenidas en la Resolución 080 de 2021 </w:t>
      </w:r>
      <w:r w:rsidR="00C84524" w:rsidRPr="00E71263">
        <w:rPr>
          <w:rFonts w:ascii="Arial" w:hAnsi="Arial" w:cs="Arial"/>
          <w:bCs/>
          <w:i/>
          <w:iCs/>
          <w:sz w:val="24"/>
          <w:szCs w:val="24"/>
          <w:lang w:val="es-CO"/>
        </w:rPr>
        <w:t xml:space="preserve">“Por la cual se modifica el Procedimiento contable para el registro de los procesos judiciales, arbitrajes, conciliaciones extrajudiciales y embargos sobre cuentas bancarias, del Marco Normativo para Entidades de Gobierno” </w:t>
      </w:r>
      <w:r w:rsidR="00C84524" w:rsidRPr="00E71263">
        <w:rPr>
          <w:rFonts w:ascii="Arial" w:hAnsi="Arial" w:cs="Arial"/>
          <w:bCs/>
          <w:iCs/>
          <w:sz w:val="24"/>
          <w:szCs w:val="24"/>
          <w:lang w:val="es-CO"/>
        </w:rPr>
        <w:t>expedida por la Contaduría General de la Nación.</w:t>
      </w:r>
    </w:p>
    <w:p w14:paraId="1F3EE08D" w14:textId="77777777" w:rsidR="00C84524" w:rsidRPr="00E71263" w:rsidRDefault="00C84524" w:rsidP="00E71263">
      <w:pPr>
        <w:widowControl/>
        <w:adjustRightInd w:val="0"/>
        <w:jc w:val="both"/>
        <w:rPr>
          <w:rFonts w:ascii="Arial" w:eastAsiaTheme="minorHAnsi" w:hAnsi="Arial" w:cs="Arial"/>
          <w:sz w:val="24"/>
          <w:szCs w:val="24"/>
          <w:lang w:val="es-CO" w:eastAsia="en-US"/>
        </w:rPr>
      </w:pPr>
    </w:p>
    <w:p w14:paraId="31D44E65" w14:textId="327F5E20" w:rsidR="00C84524" w:rsidRPr="00E71263" w:rsidRDefault="00C84524" w:rsidP="00E71263">
      <w:pPr>
        <w:widowControl/>
        <w:adjustRightInd w:val="0"/>
        <w:jc w:val="both"/>
        <w:rPr>
          <w:rFonts w:ascii="Arial" w:eastAsiaTheme="minorHAnsi" w:hAnsi="Arial" w:cs="Arial"/>
          <w:sz w:val="24"/>
          <w:szCs w:val="24"/>
          <w:lang w:val="es-CO" w:eastAsia="en-US"/>
        </w:rPr>
      </w:pPr>
      <w:r w:rsidRPr="0022335A">
        <w:rPr>
          <w:rFonts w:ascii="Arial" w:eastAsiaTheme="minorHAnsi" w:hAnsi="Arial" w:cs="Arial"/>
          <w:b/>
          <w:bCs/>
          <w:sz w:val="24"/>
          <w:szCs w:val="24"/>
          <w:lang w:val="es-CO" w:eastAsia="en-US"/>
        </w:rPr>
        <w:t>Parágrafo:</w:t>
      </w:r>
      <w:r w:rsidRPr="00E71263">
        <w:rPr>
          <w:rFonts w:ascii="Arial" w:eastAsiaTheme="minorHAnsi" w:hAnsi="Arial" w:cs="Arial"/>
          <w:sz w:val="24"/>
          <w:szCs w:val="24"/>
          <w:lang w:val="es-CO" w:eastAsia="en-US"/>
        </w:rPr>
        <w:t xml:space="preserve"> La guía</w:t>
      </w:r>
      <w:r w:rsidR="0033453E" w:rsidRPr="00E71263">
        <w:rPr>
          <w:rFonts w:ascii="Arial" w:eastAsiaTheme="minorHAnsi" w:hAnsi="Arial" w:cs="Arial"/>
          <w:sz w:val="24"/>
          <w:szCs w:val="24"/>
          <w:lang w:val="es-CO" w:eastAsia="en-US"/>
        </w:rPr>
        <w:t xml:space="preserve"> modificada hace</w:t>
      </w:r>
      <w:r w:rsidRPr="00E71263">
        <w:rPr>
          <w:rFonts w:ascii="Arial" w:eastAsiaTheme="minorHAnsi" w:hAnsi="Arial" w:cs="Arial"/>
          <w:sz w:val="24"/>
          <w:szCs w:val="24"/>
          <w:lang w:val="es-CO" w:eastAsia="en-US"/>
        </w:rPr>
        <w:t xml:space="preserve"> </w:t>
      </w:r>
      <w:r w:rsidR="0033453E" w:rsidRPr="00E71263">
        <w:rPr>
          <w:rFonts w:ascii="Arial" w:eastAsiaTheme="minorHAnsi" w:hAnsi="Arial" w:cs="Arial"/>
          <w:sz w:val="24"/>
          <w:szCs w:val="24"/>
          <w:lang w:val="es-CO" w:eastAsia="en-US"/>
        </w:rPr>
        <w:t>parte integral de la presente Resolución.</w:t>
      </w:r>
    </w:p>
    <w:p w14:paraId="19788A26" w14:textId="4DC6A10B" w:rsidR="00D82601" w:rsidRPr="00E71263" w:rsidRDefault="00D82601" w:rsidP="00E71263">
      <w:pPr>
        <w:widowControl/>
        <w:adjustRightInd w:val="0"/>
        <w:jc w:val="both"/>
        <w:rPr>
          <w:rFonts w:ascii="Arial" w:eastAsia="Calibri" w:hAnsi="Arial" w:cs="Arial"/>
          <w:sz w:val="24"/>
          <w:szCs w:val="24"/>
          <w:lang w:val="es-CO" w:eastAsia="es-CO"/>
        </w:rPr>
      </w:pPr>
    </w:p>
    <w:p w14:paraId="78C4E389" w14:textId="48C41BC0" w:rsidR="0022335A" w:rsidRPr="0022335A" w:rsidRDefault="00EA7DDE" w:rsidP="0022335A">
      <w:pPr>
        <w:tabs>
          <w:tab w:val="num" w:pos="0"/>
        </w:tabs>
        <w:jc w:val="both"/>
        <w:rPr>
          <w:rFonts w:ascii="Arial" w:hAnsi="Arial" w:cs="Arial"/>
          <w:sz w:val="24"/>
          <w:szCs w:val="24"/>
        </w:rPr>
      </w:pPr>
      <w:r w:rsidRPr="00E71263">
        <w:rPr>
          <w:rFonts w:ascii="Arial" w:hAnsi="Arial" w:cs="Arial"/>
          <w:b/>
          <w:bCs/>
          <w:sz w:val="24"/>
          <w:szCs w:val="24"/>
        </w:rPr>
        <w:t xml:space="preserve">Artículo </w:t>
      </w:r>
      <w:r w:rsidR="00D82601" w:rsidRPr="00E71263">
        <w:rPr>
          <w:rFonts w:ascii="Arial" w:hAnsi="Arial" w:cs="Arial"/>
          <w:b/>
          <w:bCs/>
          <w:sz w:val="24"/>
          <w:szCs w:val="24"/>
        </w:rPr>
        <w:t>2</w:t>
      </w:r>
      <w:r>
        <w:rPr>
          <w:rFonts w:ascii="Arial" w:hAnsi="Arial" w:cs="Arial"/>
          <w:b/>
          <w:bCs/>
          <w:sz w:val="24"/>
          <w:szCs w:val="24"/>
        </w:rPr>
        <w:t>.</w:t>
      </w:r>
      <w:r w:rsidR="00D82601" w:rsidRPr="00E71263">
        <w:rPr>
          <w:rFonts w:ascii="Arial" w:hAnsi="Arial" w:cs="Arial"/>
          <w:b/>
          <w:bCs/>
          <w:sz w:val="24"/>
          <w:szCs w:val="24"/>
        </w:rPr>
        <w:t xml:space="preserve"> </w:t>
      </w:r>
      <w:r>
        <w:rPr>
          <w:rFonts w:ascii="Arial" w:hAnsi="Arial" w:cs="Arial"/>
          <w:b/>
          <w:bCs/>
          <w:sz w:val="24"/>
          <w:szCs w:val="24"/>
        </w:rPr>
        <w:t xml:space="preserve">Vigencia y derogatorias. </w:t>
      </w:r>
      <w:r w:rsidR="00D82601" w:rsidRPr="00E71263">
        <w:rPr>
          <w:rFonts w:ascii="Arial" w:hAnsi="Arial" w:cs="Arial"/>
          <w:sz w:val="24"/>
          <w:szCs w:val="24"/>
        </w:rPr>
        <w:t>La presente Resolución rige a partir de la fecha</w:t>
      </w:r>
      <w:r w:rsidR="0022335A">
        <w:rPr>
          <w:rFonts w:ascii="Arial" w:hAnsi="Arial" w:cs="Arial"/>
          <w:sz w:val="24"/>
          <w:szCs w:val="24"/>
        </w:rPr>
        <w:t xml:space="preserve"> de su publicación</w:t>
      </w:r>
      <w:r w:rsidR="00D82601" w:rsidRPr="00E71263">
        <w:rPr>
          <w:rFonts w:ascii="Arial" w:hAnsi="Arial" w:cs="Arial"/>
          <w:sz w:val="24"/>
          <w:szCs w:val="24"/>
        </w:rPr>
        <w:t xml:space="preserve"> y </w:t>
      </w:r>
      <w:r w:rsidR="0022335A" w:rsidRPr="00E71263">
        <w:rPr>
          <w:rFonts w:ascii="Arial" w:hAnsi="Arial" w:cs="Arial"/>
          <w:bCs/>
          <w:sz w:val="24"/>
          <w:szCs w:val="24"/>
        </w:rPr>
        <w:t>modifica</w:t>
      </w:r>
      <w:r w:rsidR="0022335A">
        <w:rPr>
          <w:rFonts w:ascii="Arial" w:hAnsi="Arial" w:cs="Arial"/>
          <w:bCs/>
          <w:sz w:val="24"/>
          <w:szCs w:val="24"/>
        </w:rPr>
        <w:t>, en lo pertinente,</w:t>
      </w:r>
      <w:r w:rsidR="0022335A" w:rsidRPr="00E71263">
        <w:rPr>
          <w:rFonts w:ascii="Arial" w:hAnsi="Arial" w:cs="Arial"/>
          <w:bCs/>
          <w:sz w:val="24"/>
          <w:szCs w:val="24"/>
        </w:rPr>
        <w:t xml:space="preserve"> la Resolución 2279 del 25 de septiembre de 2018. </w:t>
      </w:r>
    </w:p>
    <w:p w14:paraId="4058912C" w14:textId="14DA3828" w:rsidR="00D82601" w:rsidRPr="00E71263" w:rsidRDefault="00D82601" w:rsidP="00E71263">
      <w:pPr>
        <w:tabs>
          <w:tab w:val="num" w:pos="0"/>
        </w:tabs>
        <w:jc w:val="both"/>
        <w:rPr>
          <w:rFonts w:ascii="Arial" w:hAnsi="Arial" w:cs="Arial"/>
          <w:b/>
          <w:bCs/>
          <w:sz w:val="24"/>
          <w:szCs w:val="24"/>
        </w:rPr>
      </w:pPr>
    </w:p>
    <w:p w14:paraId="52E1CD19" w14:textId="77777777" w:rsidR="00C84524" w:rsidRPr="00E71263" w:rsidRDefault="00C84524" w:rsidP="0022335A">
      <w:pPr>
        <w:tabs>
          <w:tab w:val="left" w:pos="5073"/>
        </w:tabs>
        <w:rPr>
          <w:rFonts w:ascii="Arial" w:eastAsia="Calibri" w:hAnsi="Arial" w:cs="Arial"/>
          <w:b/>
          <w:sz w:val="24"/>
          <w:szCs w:val="24"/>
          <w:lang w:val="es-CO" w:eastAsia="es-CO"/>
        </w:rPr>
      </w:pPr>
    </w:p>
    <w:p w14:paraId="6A3D85F8" w14:textId="3F37987D" w:rsidR="00D82601" w:rsidRPr="00E71263" w:rsidRDefault="00D82601" w:rsidP="00E71263">
      <w:pPr>
        <w:tabs>
          <w:tab w:val="left" w:pos="5073"/>
        </w:tabs>
        <w:jc w:val="center"/>
        <w:rPr>
          <w:rFonts w:ascii="Arial" w:eastAsia="Calibri" w:hAnsi="Arial" w:cs="Arial"/>
          <w:b/>
          <w:sz w:val="24"/>
          <w:szCs w:val="24"/>
          <w:lang w:eastAsia="es-CO"/>
        </w:rPr>
      </w:pPr>
      <w:r w:rsidRPr="00E71263">
        <w:rPr>
          <w:rFonts w:ascii="Arial" w:eastAsia="Calibri" w:hAnsi="Arial" w:cs="Arial"/>
          <w:b/>
          <w:sz w:val="24"/>
          <w:szCs w:val="24"/>
          <w:lang w:eastAsia="es-CO"/>
        </w:rPr>
        <w:t>PUBLIQUESE Y CÚMPLASE</w:t>
      </w:r>
    </w:p>
    <w:p w14:paraId="55497AC5" w14:textId="66CA2239" w:rsidR="00D82601" w:rsidRPr="00E71263" w:rsidRDefault="00D82601" w:rsidP="00E71263">
      <w:pPr>
        <w:tabs>
          <w:tab w:val="left" w:pos="-720"/>
          <w:tab w:val="left" w:pos="5073"/>
        </w:tabs>
        <w:suppressAutoHyphens/>
        <w:ind w:right="356"/>
        <w:jc w:val="center"/>
        <w:rPr>
          <w:rFonts w:ascii="Arial" w:eastAsia="Calibri" w:hAnsi="Arial" w:cs="Arial"/>
          <w:sz w:val="24"/>
          <w:szCs w:val="24"/>
          <w:lang w:eastAsia="es-CO"/>
        </w:rPr>
      </w:pPr>
    </w:p>
    <w:p w14:paraId="738FCE5A" w14:textId="1664EBD7" w:rsidR="00C84524" w:rsidRPr="00E71263" w:rsidRDefault="00C84524" w:rsidP="00E71263">
      <w:pPr>
        <w:tabs>
          <w:tab w:val="left" w:pos="-720"/>
          <w:tab w:val="left" w:pos="5073"/>
        </w:tabs>
        <w:suppressAutoHyphens/>
        <w:ind w:right="356"/>
        <w:jc w:val="center"/>
        <w:rPr>
          <w:rFonts w:ascii="Arial" w:eastAsia="Calibri" w:hAnsi="Arial" w:cs="Arial"/>
          <w:sz w:val="24"/>
          <w:szCs w:val="24"/>
          <w:lang w:eastAsia="es-CO"/>
        </w:rPr>
      </w:pPr>
    </w:p>
    <w:p w14:paraId="38B855F9" w14:textId="77777777" w:rsidR="00C84524" w:rsidRPr="00E71263" w:rsidRDefault="00C84524" w:rsidP="00E71263">
      <w:pPr>
        <w:tabs>
          <w:tab w:val="left" w:pos="-720"/>
          <w:tab w:val="left" w:pos="5073"/>
        </w:tabs>
        <w:suppressAutoHyphens/>
        <w:ind w:right="356"/>
        <w:jc w:val="center"/>
        <w:rPr>
          <w:rFonts w:ascii="Arial" w:eastAsia="Calibri" w:hAnsi="Arial" w:cs="Arial"/>
          <w:sz w:val="24"/>
          <w:szCs w:val="24"/>
          <w:lang w:eastAsia="es-CO"/>
        </w:rPr>
      </w:pPr>
    </w:p>
    <w:p w14:paraId="7EF7C52F" w14:textId="77777777" w:rsidR="00D82601" w:rsidRPr="00E71263" w:rsidRDefault="00D82601" w:rsidP="0022335A">
      <w:pPr>
        <w:tabs>
          <w:tab w:val="left" w:pos="-720"/>
          <w:tab w:val="left" w:pos="5073"/>
        </w:tabs>
        <w:suppressAutoHyphens/>
        <w:ind w:right="356"/>
        <w:rPr>
          <w:rFonts w:ascii="Arial" w:eastAsia="Calibri" w:hAnsi="Arial" w:cs="Arial"/>
          <w:sz w:val="24"/>
          <w:szCs w:val="24"/>
          <w:lang w:eastAsia="es-CO"/>
        </w:rPr>
      </w:pPr>
    </w:p>
    <w:p w14:paraId="02549251" w14:textId="77777777" w:rsidR="00D82601" w:rsidRPr="00E71263" w:rsidRDefault="00D82601" w:rsidP="00E71263">
      <w:pPr>
        <w:tabs>
          <w:tab w:val="left" w:pos="-720"/>
          <w:tab w:val="left" w:pos="5073"/>
        </w:tabs>
        <w:suppressAutoHyphens/>
        <w:ind w:right="356"/>
        <w:jc w:val="center"/>
        <w:rPr>
          <w:rFonts w:ascii="Arial" w:eastAsia="Calibri" w:hAnsi="Arial" w:cs="Arial"/>
          <w:sz w:val="24"/>
          <w:szCs w:val="24"/>
          <w:lang w:eastAsia="es-CO"/>
        </w:rPr>
      </w:pPr>
    </w:p>
    <w:p w14:paraId="246CA22F" w14:textId="5F82EF78" w:rsidR="00C84524" w:rsidRPr="0022335A" w:rsidRDefault="00D82601" w:rsidP="0022335A">
      <w:pPr>
        <w:tabs>
          <w:tab w:val="left" w:pos="-720"/>
          <w:tab w:val="left" w:pos="5073"/>
        </w:tabs>
        <w:suppressAutoHyphens/>
        <w:ind w:right="356"/>
        <w:jc w:val="center"/>
        <w:rPr>
          <w:rFonts w:ascii="Arial" w:hAnsi="Arial" w:cs="Arial"/>
          <w:b/>
          <w:spacing w:val="-3"/>
          <w:sz w:val="24"/>
          <w:szCs w:val="24"/>
        </w:rPr>
      </w:pPr>
      <w:r w:rsidRPr="00E71263">
        <w:rPr>
          <w:rFonts w:ascii="Arial" w:hAnsi="Arial" w:cs="Arial"/>
          <w:b/>
          <w:spacing w:val="-3"/>
          <w:sz w:val="24"/>
          <w:szCs w:val="24"/>
        </w:rPr>
        <w:t xml:space="preserve">       SUSANA CORREA BORRERO</w:t>
      </w:r>
    </w:p>
    <w:p w14:paraId="62324475" w14:textId="77777777" w:rsidR="00C84524" w:rsidRPr="00E71263" w:rsidRDefault="00C84524" w:rsidP="00E71263">
      <w:pPr>
        <w:tabs>
          <w:tab w:val="left" w:pos="-720"/>
        </w:tabs>
        <w:suppressAutoHyphens/>
        <w:ind w:right="356"/>
        <w:jc w:val="both"/>
        <w:rPr>
          <w:rFonts w:ascii="Arial" w:hAnsi="Arial" w:cs="Arial"/>
          <w:i/>
          <w:sz w:val="24"/>
          <w:szCs w:val="24"/>
        </w:rPr>
      </w:pPr>
    </w:p>
    <w:p w14:paraId="624DF2F3" w14:textId="77777777" w:rsidR="00C84524" w:rsidRPr="00E71263" w:rsidRDefault="00C84524" w:rsidP="00E71263">
      <w:pPr>
        <w:tabs>
          <w:tab w:val="left" w:pos="-720"/>
        </w:tabs>
        <w:suppressAutoHyphens/>
        <w:ind w:right="356"/>
        <w:jc w:val="both"/>
        <w:rPr>
          <w:rFonts w:ascii="Arial" w:hAnsi="Arial" w:cs="Arial"/>
          <w:i/>
          <w:sz w:val="24"/>
          <w:szCs w:val="24"/>
        </w:rPr>
      </w:pPr>
    </w:p>
    <w:p w14:paraId="75B8D53E" w14:textId="77777777" w:rsidR="0022335A" w:rsidRPr="00E71263" w:rsidRDefault="0022335A" w:rsidP="00E71263">
      <w:pPr>
        <w:tabs>
          <w:tab w:val="left" w:pos="-720"/>
        </w:tabs>
        <w:suppressAutoHyphens/>
        <w:ind w:right="356"/>
        <w:jc w:val="both"/>
        <w:rPr>
          <w:rFonts w:ascii="Arial" w:hAnsi="Arial" w:cs="Arial"/>
          <w:i/>
          <w:sz w:val="24"/>
          <w:szCs w:val="24"/>
        </w:rPr>
      </w:pPr>
    </w:p>
    <w:p w14:paraId="445800CC" w14:textId="295C3D0F" w:rsidR="00D82601" w:rsidRPr="0022335A" w:rsidRDefault="00D82601" w:rsidP="00E71263">
      <w:pPr>
        <w:tabs>
          <w:tab w:val="left" w:pos="-720"/>
        </w:tabs>
        <w:suppressAutoHyphens/>
        <w:ind w:right="356"/>
        <w:jc w:val="both"/>
        <w:rPr>
          <w:rFonts w:ascii="Arial" w:hAnsi="Arial" w:cs="Arial"/>
          <w:i/>
          <w:sz w:val="16"/>
          <w:szCs w:val="16"/>
        </w:rPr>
      </w:pPr>
      <w:r w:rsidRPr="0022335A">
        <w:rPr>
          <w:rFonts w:ascii="Arial" w:hAnsi="Arial" w:cs="Arial"/>
          <w:i/>
          <w:sz w:val="16"/>
          <w:szCs w:val="16"/>
        </w:rPr>
        <w:t>Revisó y aprobó:</w:t>
      </w:r>
      <w:r w:rsidRPr="0022335A">
        <w:rPr>
          <w:rFonts w:ascii="Arial" w:hAnsi="Arial" w:cs="Arial"/>
          <w:i/>
          <w:sz w:val="16"/>
          <w:szCs w:val="16"/>
        </w:rPr>
        <w:tab/>
        <w:t>Lucy Edrey Acevedo Meneses</w:t>
      </w:r>
    </w:p>
    <w:p w14:paraId="7F2370D1" w14:textId="77777777" w:rsidR="00D82601" w:rsidRPr="0022335A" w:rsidRDefault="00D82601" w:rsidP="00E71263">
      <w:pPr>
        <w:tabs>
          <w:tab w:val="left" w:pos="-720"/>
        </w:tabs>
        <w:suppressAutoHyphens/>
        <w:ind w:right="356"/>
        <w:jc w:val="both"/>
        <w:rPr>
          <w:rFonts w:ascii="Arial" w:hAnsi="Arial" w:cs="Arial"/>
          <w:i/>
          <w:sz w:val="16"/>
          <w:szCs w:val="16"/>
        </w:rPr>
      </w:pPr>
      <w:r w:rsidRPr="0022335A">
        <w:rPr>
          <w:rFonts w:ascii="Arial" w:hAnsi="Arial" w:cs="Arial"/>
          <w:i/>
          <w:sz w:val="16"/>
          <w:szCs w:val="16"/>
        </w:rPr>
        <w:tab/>
      </w:r>
      <w:r w:rsidRPr="0022335A">
        <w:rPr>
          <w:rFonts w:ascii="Arial" w:hAnsi="Arial" w:cs="Arial"/>
          <w:i/>
          <w:sz w:val="16"/>
          <w:szCs w:val="16"/>
        </w:rPr>
        <w:tab/>
        <w:t xml:space="preserve">Omar Alberto Barón Avendaño </w:t>
      </w:r>
    </w:p>
    <w:p w14:paraId="0DABF28C" w14:textId="77777777" w:rsidR="00D82601" w:rsidRPr="0022335A" w:rsidRDefault="00D82601" w:rsidP="00E71263">
      <w:pPr>
        <w:tabs>
          <w:tab w:val="left" w:pos="-720"/>
        </w:tabs>
        <w:suppressAutoHyphens/>
        <w:ind w:right="356"/>
        <w:jc w:val="both"/>
        <w:rPr>
          <w:rFonts w:ascii="Arial" w:hAnsi="Arial" w:cs="Arial"/>
          <w:i/>
          <w:sz w:val="16"/>
          <w:szCs w:val="16"/>
        </w:rPr>
      </w:pPr>
      <w:r w:rsidRPr="0022335A">
        <w:rPr>
          <w:rFonts w:ascii="Arial" w:hAnsi="Arial" w:cs="Arial"/>
          <w:i/>
          <w:sz w:val="16"/>
          <w:szCs w:val="16"/>
        </w:rPr>
        <w:tab/>
      </w:r>
      <w:r w:rsidRPr="0022335A">
        <w:rPr>
          <w:rFonts w:ascii="Arial" w:hAnsi="Arial" w:cs="Arial"/>
          <w:i/>
          <w:sz w:val="16"/>
          <w:szCs w:val="16"/>
        </w:rPr>
        <w:tab/>
        <w:t>Doris Esther Prieto Romero</w:t>
      </w:r>
    </w:p>
    <w:p w14:paraId="188498A3" w14:textId="77777777" w:rsidR="00D82601" w:rsidRPr="0022335A" w:rsidRDefault="00D82601" w:rsidP="00E71263">
      <w:pPr>
        <w:jc w:val="both"/>
        <w:rPr>
          <w:rFonts w:ascii="Arial" w:hAnsi="Arial" w:cs="Arial"/>
          <w:b/>
          <w:bCs/>
          <w:sz w:val="16"/>
          <w:szCs w:val="16"/>
          <w:lang w:val="es-419"/>
        </w:rPr>
      </w:pPr>
      <w:r w:rsidRPr="0022335A">
        <w:rPr>
          <w:rFonts w:ascii="Arial" w:hAnsi="Arial" w:cs="Arial"/>
          <w:i/>
          <w:sz w:val="16"/>
          <w:szCs w:val="16"/>
        </w:rPr>
        <w:t>Elaboró:</w:t>
      </w:r>
      <w:r w:rsidRPr="0022335A">
        <w:rPr>
          <w:rFonts w:ascii="Arial" w:hAnsi="Arial" w:cs="Arial"/>
          <w:i/>
          <w:sz w:val="16"/>
          <w:szCs w:val="16"/>
        </w:rPr>
        <w:tab/>
      </w:r>
      <w:r w:rsidRPr="0022335A">
        <w:rPr>
          <w:rFonts w:ascii="Arial" w:hAnsi="Arial" w:cs="Arial"/>
          <w:i/>
          <w:sz w:val="16"/>
          <w:szCs w:val="16"/>
        </w:rPr>
        <w:tab/>
        <w:t>Deisy Carolina Barrero</w:t>
      </w:r>
    </w:p>
    <w:p w14:paraId="365F2F43" w14:textId="77777777" w:rsidR="001A5F85" w:rsidRPr="0022335A" w:rsidRDefault="001A5F85" w:rsidP="00E71263">
      <w:pPr>
        <w:ind w:right="109"/>
        <w:jc w:val="both"/>
        <w:rPr>
          <w:rFonts w:ascii="Arial" w:hAnsi="Arial" w:cs="Arial"/>
          <w:sz w:val="16"/>
          <w:szCs w:val="16"/>
        </w:rPr>
      </w:pPr>
    </w:p>
    <w:sectPr w:rsidR="001A5F85" w:rsidRPr="0022335A" w:rsidSect="0038021B">
      <w:headerReference w:type="even" r:id="rId7"/>
      <w:headerReference w:type="default" r:id="rId8"/>
      <w:footerReference w:type="even" r:id="rId9"/>
      <w:footerReference w:type="default" r:id="rId10"/>
      <w:headerReference w:type="first" r:id="rId11"/>
      <w:pgSz w:w="12242" w:h="18722" w:code="120"/>
      <w:pgMar w:top="885" w:right="680" w:bottom="1077" w:left="680" w:header="942" w:footer="340" w:gutter="0"/>
      <w:pgBorders>
        <w:top w:val="double" w:sz="12" w:space="1" w:color="auto"/>
        <w:left w:val="double" w:sz="12" w:space="4" w:color="auto"/>
        <w:bottom w:val="double" w:sz="12" w:space="1" w:color="auto"/>
        <w:right w:val="double" w:sz="12" w:space="4" w:color="auto"/>
      </w:pgBorders>
      <w:pgNumType w:fmt="numberInDash"/>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C223" w14:textId="77777777" w:rsidR="007C2C54" w:rsidRDefault="007C2C54" w:rsidP="00D82601">
      <w:r>
        <w:separator/>
      </w:r>
    </w:p>
  </w:endnote>
  <w:endnote w:type="continuationSeparator" w:id="0">
    <w:p w14:paraId="195D0FCF" w14:textId="77777777" w:rsidR="007C2C54" w:rsidRDefault="007C2C54" w:rsidP="00D8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Sorts">
    <w:panose1 w:val="01010601010101010101"/>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858E" w14:textId="77777777" w:rsidR="00E35B87" w:rsidRDefault="007C2C54">
    <w:pPr>
      <w:pStyle w:val="Piedepgina"/>
      <w:jc w:val="center"/>
    </w:pPr>
  </w:p>
  <w:p w14:paraId="6C0E68D5" w14:textId="77777777" w:rsidR="00E35B87" w:rsidRDefault="007C2C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EB9A" w14:textId="681F579E" w:rsidR="00E35B87" w:rsidRDefault="007433DC">
    <w:pPr>
      <w:pStyle w:val="Piedepgina"/>
      <w:jc w:val="center"/>
    </w:pPr>
    <w:r>
      <w:fldChar w:fldCharType="begin"/>
    </w:r>
    <w:r>
      <w:instrText xml:space="preserve"> PAGE   \* MERGEFORMAT </w:instrText>
    </w:r>
    <w:r>
      <w:fldChar w:fldCharType="separate"/>
    </w:r>
    <w:r w:rsidR="0033453E">
      <w:rPr>
        <w:noProof/>
      </w:rPr>
      <w:t>- 2 -</w:t>
    </w:r>
    <w:r>
      <w:rPr>
        <w:noProof/>
      </w:rPr>
      <w:fldChar w:fldCharType="end"/>
    </w:r>
  </w:p>
  <w:p w14:paraId="018F4598" w14:textId="77777777" w:rsidR="00E35B87" w:rsidRDefault="007C2C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153D" w14:textId="77777777" w:rsidR="007C2C54" w:rsidRDefault="007C2C54" w:rsidP="00D82601">
      <w:r>
        <w:separator/>
      </w:r>
    </w:p>
  </w:footnote>
  <w:footnote w:type="continuationSeparator" w:id="0">
    <w:p w14:paraId="79EE219A" w14:textId="77777777" w:rsidR="007C2C54" w:rsidRDefault="007C2C54" w:rsidP="00D8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05C2" w14:textId="77777777" w:rsidR="00E35B87" w:rsidRDefault="007433DC">
    <w:pPr>
      <w:pStyle w:val="Encabezado"/>
      <w:rPr>
        <w:rFonts w:ascii="Arial Narrow" w:hAnsi="Arial Narrow" w:cs="Arial"/>
        <w:b/>
        <w:lang w:val="es-CO"/>
      </w:rPr>
    </w:pPr>
    <w:r>
      <w:rPr>
        <w:noProof/>
        <w:lang w:val="en-US" w:eastAsia="en-US"/>
      </w:rPr>
      <w:drawing>
        <wp:anchor distT="0" distB="0" distL="114300" distR="114300" simplePos="0" relativeHeight="251659264" behindDoc="1" locked="0" layoutInCell="1" allowOverlap="1" wp14:anchorId="0DE8FCBF" wp14:editId="3E34D51F">
          <wp:simplePos x="0" y="0"/>
          <wp:positionH relativeFrom="margin">
            <wp:posOffset>1232786</wp:posOffset>
          </wp:positionH>
          <wp:positionV relativeFrom="margin">
            <wp:posOffset>-1629676</wp:posOffset>
          </wp:positionV>
          <wp:extent cx="4362450" cy="4724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4AF01" w14:textId="77777777" w:rsidR="00E35B87" w:rsidRDefault="007C2C54" w:rsidP="00B13711">
    <w:pPr>
      <w:pStyle w:val="Encabezado"/>
      <w:tabs>
        <w:tab w:val="left" w:pos="8504"/>
      </w:tabs>
      <w:jc w:val="center"/>
      <w:rPr>
        <w:rFonts w:ascii="Arial Narrow" w:hAnsi="Arial Narrow" w:cs="Arial"/>
        <w:b/>
        <w:lang w:val="es-CO"/>
      </w:rPr>
    </w:pPr>
  </w:p>
  <w:p w14:paraId="2DCA96CD" w14:textId="77777777" w:rsidR="0040098C" w:rsidRDefault="007C2C54" w:rsidP="00AD3EDA">
    <w:pPr>
      <w:pStyle w:val="Ttulo3"/>
      <w:ind w:left="0" w:firstLine="0"/>
      <w:rPr>
        <w:rFonts w:ascii="Arial" w:hAnsi="Arial" w:cs="Arial"/>
        <w:i w:val="0"/>
      </w:rPr>
    </w:pPr>
  </w:p>
  <w:p w14:paraId="5007FD5B" w14:textId="77777777" w:rsidR="00CA439D" w:rsidRPr="00EF4F87" w:rsidRDefault="007433DC" w:rsidP="00CA439D">
    <w:pPr>
      <w:pStyle w:val="Ttulo3"/>
      <w:ind w:left="0" w:firstLine="0"/>
      <w:rPr>
        <w:rFonts w:ascii="Arial" w:hAnsi="Arial" w:cs="Arial"/>
        <w:i w:val="0"/>
      </w:rPr>
    </w:pPr>
    <w:r>
      <w:rPr>
        <w:rFonts w:ascii="Arial" w:hAnsi="Arial" w:cs="Arial"/>
        <w:i w:val="0"/>
      </w:rPr>
      <w:t>RESOLUCIÓ</w:t>
    </w:r>
    <w:r w:rsidRPr="00EF4F87">
      <w:rPr>
        <w:rFonts w:ascii="Arial" w:hAnsi="Arial" w:cs="Arial"/>
        <w:i w:val="0"/>
      </w:rPr>
      <w:t>N No.                     DE</w:t>
    </w:r>
  </w:p>
  <w:p w14:paraId="5D8F5F74" w14:textId="77777777" w:rsidR="00CA439D" w:rsidRDefault="007C2C54" w:rsidP="00CA439D">
    <w:pPr>
      <w:jc w:val="center"/>
    </w:pPr>
  </w:p>
  <w:p w14:paraId="604DC559" w14:textId="77777777" w:rsidR="00CA439D" w:rsidRPr="0004380C" w:rsidRDefault="007433DC" w:rsidP="00CA439D">
    <w:pPr>
      <w:pStyle w:val="Titulo1"/>
      <w:numPr>
        <w:ilvl w:val="0"/>
        <w:numId w:val="0"/>
      </w:numPr>
      <w:spacing w:before="0" w:after="0" w:line="240" w:lineRule="auto"/>
      <w:jc w:val="center"/>
      <w:rPr>
        <w:b w:val="0"/>
        <w:i/>
        <w:sz w:val="19"/>
        <w:szCs w:val="19"/>
        <w:lang w:val="es-CO"/>
      </w:rPr>
    </w:pPr>
    <w:r w:rsidRPr="0004380C">
      <w:rPr>
        <w:b w:val="0"/>
        <w:i/>
        <w:sz w:val="19"/>
        <w:szCs w:val="19"/>
        <w:lang w:val="es-CO"/>
      </w:rPr>
      <w:t>“Por la cual se libra Mandamiento de Pago contra la señora contra la señora Johana Andrea Figueroa Pérez, identificada con C.C. No. 1.121.706.367 por concepto de Clausula Penal Pecuniaria por incumplimiento parcial del Contrato de Prestación de Servicios Profesionales No. 138 de 2015”</w:t>
    </w:r>
  </w:p>
  <w:p w14:paraId="2298C9DD" w14:textId="77777777" w:rsidR="00EB70A3" w:rsidRPr="007E78A2" w:rsidRDefault="007433DC" w:rsidP="00EB70A3">
    <w:pPr>
      <w:pStyle w:val="Titulo1"/>
      <w:numPr>
        <w:ilvl w:val="0"/>
        <w:numId w:val="0"/>
      </w:numPr>
      <w:spacing w:before="0" w:after="0" w:line="240" w:lineRule="auto"/>
      <w:jc w:val="center"/>
      <w:rPr>
        <w:rFonts w:cs="Arial"/>
        <w:color w:val="auto"/>
        <w:sz w:val="20"/>
        <w:lang w:val="es-CO"/>
      </w:rPr>
    </w:pPr>
    <w:r>
      <w:rPr>
        <w:rFonts w:cs="Arial"/>
        <w:color w:val="auto"/>
        <w:sz w:val="20"/>
        <w:lang w:val="es-CO"/>
      </w:rPr>
      <w:t>___________________________________________________________________________</w:t>
    </w:r>
  </w:p>
  <w:p w14:paraId="5A84F7A7" w14:textId="77777777" w:rsidR="00EB70A3" w:rsidRPr="00AA3C5B" w:rsidRDefault="007C2C54" w:rsidP="00AF114E">
    <w:pPr>
      <w:pStyle w:val="Titulo1"/>
      <w:numPr>
        <w:ilvl w:val="0"/>
        <w:numId w:val="0"/>
      </w:numPr>
      <w:spacing w:before="0" w:after="0" w:line="240" w:lineRule="auto"/>
      <w:jc w:val="center"/>
      <w:rPr>
        <w:rFonts w:cs="Arial"/>
        <w:color w:val="auto"/>
        <w:sz w:val="20"/>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B8FC" w14:textId="77777777" w:rsidR="0038037A" w:rsidRDefault="007433DC" w:rsidP="0038037A">
    <w:pPr>
      <w:jc w:val="center"/>
      <w:rPr>
        <w:noProof/>
        <w:sz w:val="24"/>
        <w:szCs w:val="24"/>
        <w:lang w:val="es-CO" w:eastAsia="es-CO"/>
      </w:rPr>
    </w:pPr>
    <w:r>
      <w:rPr>
        <w:noProof/>
        <w:lang w:val="en-US" w:eastAsia="en-US"/>
      </w:rPr>
      <w:drawing>
        <wp:inline distT="0" distB="0" distL="0" distR="0" wp14:anchorId="0BE0E6C6" wp14:editId="4E01EB9B">
          <wp:extent cx="2855595" cy="569595"/>
          <wp:effectExtent l="0" t="0" r="1905" b="1905"/>
          <wp:docPr id="2" name="Imagen 2" descr="cid:image004.jpg@01D4BA19.C6C0C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4.jpg@01D4BA19.C6C0CD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5595" cy="569595"/>
                  </a:xfrm>
                  <a:prstGeom prst="rect">
                    <a:avLst/>
                  </a:prstGeom>
                  <a:noFill/>
                  <a:ln>
                    <a:noFill/>
                  </a:ln>
                </pic:spPr>
              </pic:pic>
            </a:graphicData>
          </a:graphic>
        </wp:inline>
      </w:drawing>
    </w:r>
  </w:p>
  <w:p w14:paraId="31244E6D" w14:textId="77777777" w:rsidR="0038037A" w:rsidRDefault="007C2C54" w:rsidP="0038037A">
    <w:pPr>
      <w:jc w:val="center"/>
      <w:rPr>
        <w:noProof/>
        <w:sz w:val="24"/>
        <w:szCs w:val="24"/>
        <w:lang w:val="es-CO" w:eastAsia="es-CO"/>
      </w:rPr>
    </w:pPr>
  </w:p>
  <w:p w14:paraId="4EFA5D4F" w14:textId="77777777" w:rsidR="00D82601" w:rsidRPr="00E71263" w:rsidRDefault="00D82601" w:rsidP="00D82601">
    <w:pPr>
      <w:pStyle w:val="Ttulo3"/>
      <w:ind w:left="0" w:firstLine="0"/>
      <w:rPr>
        <w:rFonts w:ascii="Arial" w:hAnsi="Arial" w:cs="Arial"/>
        <w:i w:val="0"/>
        <w:sz w:val="24"/>
        <w:szCs w:val="24"/>
      </w:rPr>
    </w:pPr>
    <w:r w:rsidRPr="00E71263">
      <w:rPr>
        <w:rFonts w:ascii="Arial" w:hAnsi="Arial" w:cs="Arial"/>
        <w:i w:val="0"/>
        <w:sz w:val="24"/>
        <w:szCs w:val="24"/>
      </w:rPr>
      <w:t>RESOLUCIÓN No.                     DE</w:t>
    </w:r>
  </w:p>
  <w:p w14:paraId="197D81A6" w14:textId="3E77E57E" w:rsidR="0038021B" w:rsidRDefault="00C84524" w:rsidP="0038021B">
    <w:pPr>
      <w:pStyle w:val="Titulo1"/>
      <w:numPr>
        <w:ilvl w:val="0"/>
        <w:numId w:val="0"/>
      </w:numPr>
      <w:spacing w:before="0" w:after="0" w:line="240" w:lineRule="auto"/>
      <w:jc w:val="center"/>
      <w:rPr>
        <w:rFonts w:ascii="Arial" w:hAnsi="Arial" w:cs="Arial"/>
        <w:i/>
        <w:color w:val="auto"/>
        <w:kern w:val="0"/>
        <w:sz w:val="24"/>
        <w:szCs w:val="24"/>
        <w:lang w:val="es-CO"/>
      </w:rPr>
    </w:pPr>
    <w:r w:rsidRPr="00E71263">
      <w:rPr>
        <w:rFonts w:ascii="Arial" w:hAnsi="Arial" w:cs="Arial"/>
        <w:i/>
        <w:color w:val="auto"/>
        <w:kern w:val="0"/>
        <w:sz w:val="24"/>
        <w:szCs w:val="24"/>
        <w:lang w:val="es-CO"/>
      </w:rPr>
      <w:t>“Por medio de la cual se modifica la guía para el cálculo de provisiones y reconocimiento contable de los procesos judiciales, arbitramentos y conciliaciones extrajudiciales en los que la entidad es parte y embargos de cuentas bancarias en Prosperidad Social, adoptada mediante la Resolución No. 02279 del 25 de septiembre de 2018”</w:t>
    </w:r>
  </w:p>
  <w:p w14:paraId="18ABE559" w14:textId="77777777" w:rsidR="007A2C7C" w:rsidRPr="00E71263" w:rsidRDefault="007A2C7C" w:rsidP="0038021B">
    <w:pPr>
      <w:pStyle w:val="Titulo1"/>
      <w:numPr>
        <w:ilvl w:val="0"/>
        <w:numId w:val="0"/>
      </w:numPr>
      <w:spacing w:before="0" w:after="0" w:line="240" w:lineRule="auto"/>
      <w:jc w:val="center"/>
      <w:rPr>
        <w:rFonts w:ascii="Arial" w:hAnsi="Arial" w:cs="Arial"/>
        <w:b w:val="0"/>
        <w:i/>
        <w:sz w:val="24"/>
        <w:szCs w:val="24"/>
        <w:lang w:val="es-CO"/>
      </w:rPr>
    </w:pPr>
  </w:p>
  <w:p w14:paraId="7EE36E61" w14:textId="77777777" w:rsidR="00E35B87" w:rsidRDefault="007C2C54">
    <w:pPr>
      <w:pStyle w:val="Encabezado"/>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630" w14:textId="77777777" w:rsidR="00E35B87" w:rsidRDefault="007433DC" w:rsidP="00B13711">
    <w:pPr>
      <w:jc w:val="center"/>
      <w:rPr>
        <w:noProof/>
        <w:sz w:val="24"/>
        <w:szCs w:val="24"/>
        <w:lang w:val="es-CO" w:eastAsia="es-CO"/>
      </w:rPr>
    </w:pPr>
    <w:r>
      <w:rPr>
        <w:noProof/>
        <w:lang w:val="en-US" w:eastAsia="en-US"/>
      </w:rPr>
      <w:drawing>
        <wp:inline distT="0" distB="0" distL="0" distR="0" wp14:anchorId="3AB8838F" wp14:editId="539BCE27">
          <wp:extent cx="2855595" cy="569595"/>
          <wp:effectExtent l="0" t="0" r="1905" b="1905"/>
          <wp:docPr id="1" name="Imagen 1" descr="cid:image004.jpg@01D4BA19.C6C0C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4.jpg@01D4BA19.C6C0CD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5595" cy="569595"/>
                  </a:xfrm>
                  <a:prstGeom prst="rect">
                    <a:avLst/>
                  </a:prstGeom>
                  <a:noFill/>
                  <a:ln>
                    <a:noFill/>
                  </a:ln>
                </pic:spPr>
              </pic:pic>
            </a:graphicData>
          </a:graphic>
        </wp:inline>
      </w:drawing>
    </w:r>
  </w:p>
  <w:p w14:paraId="4B03BBAD" w14:textId="77777777" w:rsidR="00E35B87" w:rsidRDefault="007C2C54" w:rsidP="00B13711">
    <w:pPr>
      <w:jc w:val="center"/>
      <w:rPr>
        <w:noProof/>
        <w:lang w:val="es-CO" w:eastAsia="es-CO"/>
      </w:rPr>
    </w:pPr>
  </w:p>
  <w:p w14:paraId="30FC2F19" w14:textId="77777777" w:rsidR="00D82601" w:rsidRPr="00E71263" w:rsidRDefault="00D82601" w:rsidP="00D82601">
    <w:pPr>
      <w:pStyle w:val="Ttulo3"/>
      <w:ind w:left="0" w:firstLine="0"/>
      <w:rPr>
        <w:rFonts w:ascii="Arial" w:hAnsi="Arial" w:cs="Arial"/>
        <w:i w:val="0"/>
        <w:sz w:val="24"/>
        <w:szCs w:val="24"/>
      </w:rPr>
    </w:pPr>
    <w:r w:rsidRPr="00E71263">
      <w:rPr>
        <w:rFonts w:ascii="Arial" w:hAnsi="Arial" w:cs="Arial"/>
        <w:i w:val="0"/>
        <w:sz w:val="24"/>
        <w:szCs w:val="24"/>
      </w:rPr>
      <w:t>RESOLUCIÓN No.                     DE</w:t>
    </w:r>
  </w:p>
  <w:p w14:paraId="55A7AB19" w14:textId="77777777" w:rsidR="00D82601" w:rsidRPr="00E71263" w:rsidRDefault="00D82601" w:rsidP="00D82601">
    <w:pPr>
      <w:jc w:val="center"/>
      <w:rPr>
        <w:rFonts w:ascii="Arial" w:hAnsi="Arial" w:cs="Arial"/>
        <w:b/>
        <w:i/>
        <w:sz w:val="24"/>
        <w:szCs w:val="24"/>
        <w:lang w:val="es-CO"/>
      </w:rPr>
    </w:pPr>
  </w:p>
  <w:p w14:paraId="1C5BAFD5" w14:textId="02EC08E4" w:rsidR="00D82601" w:rsidRPr="00E71263" w:rsidRDefault="007A705F" w:rsidP="00D82601">
    <w:pPr>
      <w:pStyle w:val="Encabezado"/>
      <w:tabs>
        <w:tab w:val="clear" w:pos="4252"/>
        <w:tab w:val="clear" w:pos="8504"/>
        <w:tab w:val="left" w:pos="1803"/>
        <w:tab w:val="left" w:pos="4696"/>
      </w:tabs>
      <w:jc w:val="center"/>
      <w:rPr>
        <w:rFonts w:cs="Arial"/>
        <w:b/>
        <w:bCs/>
        <w:i/>
      </w:rPr>
    </w:pPr>
    <w:bookmarkStart w:id="0" w:name="_Hlk509558802"/>
    <w:r w:rsidRPr="00E71263">
      <w:rPr>
        <w:rFonts w:cs="Arial"/>
        <w:b/>
        <w:lang w:val="es-CO"/>
      </w:rPr>
      <w:t>“</w:t>
    </w:r>
    <w:r w:rsidR="00D82601" w:rsidRPr="00E71263">
      <w:rPr>
        <w:rFonts w:cs="Arial"/>
        <w:b/>
        <w:bCs/>
        <w:i/>
      </w:rPr>
      <w:t xml:space="preserve">Por medio de la cual </w:t>
    </w:r>
    <w:bookmarkEnd w:id="0"/>
    <w:r w:rsidR="00C84524" w:rsidRPr="00E71263">
      <w:rPr>
        <w:rFonts w:cs="Arial"/>
        <w:b/>
        <w:bCs/>
        <w:i/>
      </w:rPr>
      <w:t>se modifica la guía para el cálculo de provisiones y reconocimiento contable de los procesos judiciales, arbitramentos y conciliaciones extrajudiciales en los que la entidad es parte y embargos de cuentas bancarias en Prosperidad Social, adoptada mediante</w:t>
    </w:r>
    <w:r w:rsidRPr="00E71263">
      <w:rPr>
        <w:rFonts w:cs="Arial"/>
        <w:b/>
        <w:bCs/>
        <w:i/>
      </w:rPr>
      <w:t xml:space="preserve"> la Resolución No. 022</w:t>
    </w:r>
    <w:r w:rsidR="00C84524" w:rsidRPr="00E71263">
      <w:rPr>
        <w:rFonts w:cs="Arial"/>
        <w:b/>
        <w:bCs/>
        <w:i/>
      </w:rPr>
      <w:t>79 del 25 de septiembre de 2018”</w:t>
    </w:r>
  </w:p>
  <w:p w14:paraId="290E587A" w14:textId="65B6CDA5" w:rsidR="00E35B87" w:rsidRPr="00E71263" w:rsidRDefault="007C2C54" w:rsidP="00D82601">
    <w:pPr>
      <w:pStyle w:val="Ttulo3"/>
      <w:ind w:left="0" w:firstLine="0"/>
      <w:rPr>
        <w:rFonts w:ascii="Arial" w:hAnsi="Arial" w:cs="Arial"/>
        <w:b w:val="0"/>
        <w:i w:val="0"/>
        <w:sz w:val="24"/>
        <w:szCs w:val="24"/>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BCD"/>
    <w:multiLevelType w:val="hybridMultilevel"/>
    <w:tmpl w:val="DAAA3EDC"/>
    <w:lvl w:ilvl="0" w:tplc="D020F79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C4430A"/>
    <w:multiLevelType w:val="hybridMultilevel"/>
    <w:tmpl w:val="572463E0"/>
    <w:lvl w:ilvl="0" w:tplc="E484217E">
      <w:start w:val="1"/>
      <w:numFmt w:val="lowerLetter"/>
      <w:lvlText w:val="%1)"/>
      <w:lvlJc w:val="left"/>
      <w:pPr>
        <w:ind w:left="928"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01"/>
    <w:rsid w:val="00037BC2"/>
    <w:rsid w:val="00053B3E"/>
    <w:rsid w:val="000F2632"/>
    <w:rsid w:val="00100D6D"/>
    <w:rsid w:val="001A5F85"/>
    <w:rsid w:val="00214513"/>
    <w:rsid w:val="00214811"/>
    <w:rsid w:val="0022335A"/>
    <w:rsid w:val="0024611B"/>
    <w:rsid w:val="002876BF"/>
    <w:rsid w:val="002B3597"/>
    <w:rsid w:val="0033453E"/>
    <w:rsid w:val="00460CAE"/>
    <w:rsid w:val="005409CC"/>
    <w:rsid w:val="005903AC"/>
    <w:rsid w:val="005E00DA"/>
    <w:rsid w:val="0070411C"/>
    <w:rsid w:val="0072118F"/>
    <w:rsid w:val="007433DC"/>
    <w:rsid w:val="007A2C7C"/>
    <w:rsid w:val="007A705F"/>
    <w:rsid w:val="007C2C54"/>
    <w:rsid w:val="008711FC"/>
    <w:rsid w:val="0087286B"/>
    <w:rsid w:val="008A0C08"/>
    <w:rsid w:val="0094036C"/>
    <w:rsid w:val="009C499A"/>
    <w:rsid w:val="00A60AEF"/>
    <w:rsid w:val="00A74232"/>
    <w:rsid w:val="00AA2D57"/>
    <w:rsid w:val="00B34D30"/>
    <w:rsid w:val="00BA6E64"/>
    <w:rsid w:val="00BF6D36"/>
    <w:rsid w:val="00C84524"/>
    <w:rsid w:val="00CC1697"/>
    <w:rsid w:val="00D1584B"/>
    <w:rsid w:val="00D82601"/>
    <w:rsid w:val="00E71263"/>
    <w:rsid w:val="00EA7DDE"/>
    <w:rsid w:val="00FB009A"/>
    <w:rsid w:val="00FF10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7B9DC"/>
  <w15:chartTrackingRefBased/>
  <w15:docId w15:val="{4F5A4953-C74F-4CC4-BB68-727F9A07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601"/>
    <w:pPr>
      <w:widowControl w:val="0"/>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826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8260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D82601"/>
    <w:pPr>
      <w:keepNext/>
      <w:widowControl/>
      <w:ind w:left="170" w:right="170" w:firstLine="1489"/>
      <w:jc w:val="center"/>
      <w:outlineLvl w:val="2"/>
    </w:pPr>
    <w:rPr>
      <w:b/>
      <w:bCs/>
      <w:i/>
      <w:iCs/>
      <w:sz w:val="28"/>
      <w:szCs w:val="28"/>
    </w:rPr>
  </w:style>
  <w:style w:type="paragraph" w:styleId="Ttulo4">
    <w:name w:val="heading 4"/>
    <w:basedOn w:val="Normal"/>
    <w:next w:val="Normal"/>
    <w:link w:val="Ttulo4Car"/>
    <w:uiPriority w:val="9"/>
    <w:semiHidden/>
    <w:unhideWhenUsed/>
    <w:qFormat/>
    <w:rsid w:val="00D82601"/>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qFormat/>
    <w:rsid w:val="00D82601"/>
    <w:pPr>
      <w:widowControl/>
      <w:numPr>
        <w:ilvl w:val="5"/>
        <w:numId w:val="1"/>
      </w:numPr>
      <w:autoSpaceDE/>
      <w:autoSpaceDN/>
      <w:spacing w:before="240" w:after="60" w:line="360" w:lineRule="auto"/>
      <w:outlineLvl w:val="5"/>
    </w:pPr>
    <w:rPr>
      <w:rFonts w:ascii="Verdana" w:hAnsi="Verdana"/>
      <w:b/>
    </w:rPr>
  </w:style>
  <w:style w:type="paragraph" w:styleId="Ttulo7">
    <w:name w:val="heading 7"/>
    <w:basedOn w:val="Normal"/>
    <w:next w:val="Normal"/>
    <w:link w:val="Ttulo7Car"/>
    <w:uiPriority w:val="9"/>
    <w:qFormat/>
    <w:rsid w:val="00D82601"/>
    <w:pPr>
      <w:widowControl/>
      <w:numPr>
        <w:ilvl w:val="6"/>
        <w:numId w:val="1"/>
      </w:numPr>
      <w:autoSpaceDE/>
      <w:autoSpaceDN/>
      <w:spacing w:before="240" w:after="60" w:line="360" w:lineRule="auto"/>
      <w:outlineLvl w:val="6"/>
    </w:pPr>
    <w:rPr>
      <w:rFonts w:ascii="Arial" w:hAnsi="Arial"/>
      <w:lang w:val="en-AU"/>
    </w:rPr>
  </w:style>
  <w:style w:type="paragraph" w:styleId="Ttulo8">
    <w:name w:val="heading 8"/>
    <w:basedOn w:val="Normal"/>
    <w:next w:val="Normal"/>
    <w:link w:val="Ttulo8Car"/>
    <w:uiPriority w:val="9"/>
    <w:qFormat/>
    <w:rsid w:val="00D82601"/>
    <w:pPr>
      <w:widowControl/>
      <w:numPr>
        <w:ilvl w:val="7"/>
        <w:numId w:val="1"/>
      </w:numPr>
      <w:autoSpaceDE/>
      <w:autoSpaceDN/>
      <w:spacing w:before="240" w:after="60" w:line="360" w:lineRule="auto"/>
      <w:outlineLvl w:val="7"/>
    </w:pPr>
    <w:rPr>
      <w:rFonts w:ascii="Arial" w:hAnsi="Arial"/>
      <w:i/>
      <w:lang w:val="en-AU"/>
    </w:rPr>
  </w:style>
  <w:style w:type="paragraph" w:styleId="Ttulo9">
    <w:name w:val="heading 9"/>
    <w:basedOn w:val="Normal"/>
    <w:next w:val="Normal"/>
    <w:link w:val="Ttulo9Car"/>
    <w:uiPriority w:val="9"/>
    <w:qFormat/>
    <w:rsid w:val="00D82601"/>
    <w:pPr>
      <w:widowControl/>
      <w:numPr>
        <w:ilvl w:val="8"/>
        <w:numId w:val="1"/>
      </w:numPr>
      <w:autoSpaceDE/>
      <w:autoSpaceDN/>
      <w:spacing w:before="240" w:after="60" w:line="360" w:lineRule="auto"/>
      <w:outlineLvl w:val="8"/>
    </w:pPr>
    <w:rPr>
      <w:rFonts w:ascii="Arial" w:hAnsi="Arial"/>
      <w:b/>
      <w:i/>
      <w:sz w:val="18"/>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D82601"/>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D82601"/>
    <w:rPr>
      <w:rFonts w:ascii="Times New Roman" w:eastAsia="Times New Roman" w:hAnsi="Times New Roman" w:cs="Times New Roman"/>
      <w:b/>
      <w:bCs/>
      <w:i/>
      <w:iCs/>
      <w:sz w:val="28"/>
      <w:szCs w:val="28"/>
      <w:lang w:val="es-ES" w:eastAsia="es-ES"/>
    </w:rPr>
  </w:style>
  <w:style w:type="character" w:customStyle="1" w:styleId="Ttulo6Car">
    <w:name w:val="Título 6 Car"/>
    <w:basedOn w:val="Fuentedeprrafopredeter"/>
    <w:link w:val="Ttulo6"/>
    <w:uiPriority w:val="9"/>
    <w:rsid w:val="00D82601"/>
    <w:rPr>
      <w:rFonts w:ascii="Verdana" w:eastAsia="Times New Roman" w:hAnsi="Verdana" w:cs="Times New Roman"/>
      <w:b/>
      <w:sz w:val="20"/>
      <w:szCs w:val="20"/>
      <w:lang w:val="es-ES" w:eastAsia="es-ES"/>
    </w:rPr>
  </w:style>
  <w:style w:type="character" w:customStyle="1" w:styleId="Ttulo7Car">
    <w:name w:val="Título 7 Car"/>
    <w:basedOn w:val="Fuentedeprrafopredeter"/>
    <w:link w:val="Ttulo7"/>
    <w:uiPriority w:val="9"/>
    <w:rsid w:val="00D82601"/>
    <w:rPr>
      <w:rFonts w:ascii="Arial" w:eastAsia="Times New Roman" w:hAnsi="Arial" w:cs="Times New Roman"/>
      <w:sz w:val="20"/>
      <w:szCs w:val="20"/>
      <w:lang w:val="en-AU" w:eastAsia="es-ES"/>
    </w:rPr>
  </w:style>
  <w:style w:type="character" w:customStyle="1" w:styleId="Ttulo8Car">
    <w:name w:val="Título 8 Car"/>
    <w:basedOn w:val="Fuentedeprrafopredeter"/>
    <w:link w:val="Ttulo8"/>
    <w:uiPriority w:val="9"/>
    <w:rsid w:val="00D82601"/>
    <w:rPr>
      <w:rFonts w:ascii="Arial" w:eastAsia="Times New Roman" w:hAnsi="Arial" w:cs="Times New Roman"/>
      <w:i/>
      <w:sz w:val="20"/>
      <w:szCs w:val="20"/>
      <w:lang w:val="en-AU" w:eastAsia="es-ES"/>
    </w:rPr>
  </w:style>
  <w:style w:type="character" w:customStyle="1" w:styleId="Ttulo9Car">
    <w:name w:val="Título 9 Car"/>
    <w:basedOn w:val="Fuentedeprrafopredeter"/>
    <w:link w:val="Ttulo9"/>
    <w:uiPriority w:val="9"/>
    <w:rsid w:val="00D82601"/>
    <w:rPr>
      <w:rFonts w:ascii="Arial" w:eastAsia="Times New Roman" w:hAnsi="Arial" w:cs="Times New Roman"/>
      <w:b/>
      <w:i/>
      <w:sz w:val="18"/>
      <w:szCs w:val="20"/>
      <w:lang w:val="en-AU" w:eastAsia="es-ES"/>
    </w:rPr>
  </w:style>
  <w:style w:type="paragraph" w:styleId="Encabezado">
    <w:name w:val="header"/>
    <w:aliases w:val="h,encabezado,h8,h9,h10,h18,he,h18 Car Car Car Car Car,h18 Car Car Car Car Car Car Car Car,h18 Car Car Car Car Car Car Car,h18 Car Car Car,h18 Car Car,Alt Header"/>
    <w:basedOn w:val="Normal"/>
    <w:link w:val="EncabezadoCar"/>
    <w:uiPriority w:val="99"/>
    <w:rsid w:val="00D82601"/>
    <w:pPr>
      <w:widowControl/>
      <w:tabs>
        <w:tab w:val="center" w:pos="4252"/>
        <w:tab w:val="right" w:pos="8504"/>
      </w:tabs>
      <w:autoSpaceDE/>
      <w:autoSpaceDN/>
    </w:pPr>
    <w:rPr>
      <w:rFonts w:ascii="Arial" w:hAnsi="Arial"/>
      <w:sz w:val="24"/>
      <w:szCs w:val="24"/>
    </w:rPr>
  </w:style>
  <w:style w:type="character" w:customStyle="1" w:styleId="EncabezadoCar">
    <w:name w:val="Encabezado Car"/>
    <w:aliases w:val="h Car,encabezado Car,h8 Car,h9 Car,h10 Car,h18 Car,he Car,h18 Car Car Car Car Car Car,h18 Car Car Car Car Car Car Car Car Car,h18 Car Car Car Car Car Car Car Car1,h18 Car Car Car Car,h18 Car Car Car1,Alt Header Car"/>
    <w:basedOn w:val="Fuentedeprrafopredeter"/>
    <w:link w:val="Encabezado"/>
    <w:uiPriority w:val="99"/>
    <w:rsid w:val="00D82601"/>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D82601"/>
    <w:pPr>
      <w:tabs>
        <w:tab w:val="center" w:pos="4252"/>
        <w:tab w:val="right" w:pos="8504"/>
      </w:tabs>
    </w:pPr>
  </w:style>
  <w:style w:type="character" w:customStyle="1" w:styleId="PiedepginaCar">
    <w:name w:val="Pie de página Car"/>
    <w:basedOn w:val="Fuentedeprrafopredeter"/>
    <w:link w:val="Piedepgina"/>
    <w:uiPriority w:val="99"/>
    <w:rsid w:val="00D82601"/>
    <w:rPr>
      <w:rFonts w:ascii="Times New Roman" w:eastAsia="Times New Roman" w:hAnsi="Times New Roman" w:cs="Times New Roman"/>
      <w:sz w:val="20"/>
      <w:szCs w:val="20"/>
      <w:lang w:val="es-ES" w:eastAsia="es-ES"/>
    </w:rPr>
  </w:style>
  <w:style w:type="paragraph" w:customStyle="1" w:styleId="Titulo1">
    <w:name w:val="Titulo 1"/>
    <w:basedOn w:val="Ttulo1"/>
    <w:rsid w:val="00D82601"/>
    <w:pPr>
      <w:keepLines w:val="0"/>
      <w:widowControl/>
      <w:numPr>
        <w:numId w:val="1"/>
      </w:numPr>
      <w:tabs>
        <w:tab w:val="clear" w:pos="432"/>
        <w:tab w:val="num" w:pos="360"/>
      </w:tabs>
      <w:autoSpaceDE/>
      <w:autoSpaceDN/>
      <w:spacing w:before="400" w:after="160" w:line="360" w:lineRule="auto"/>
      <w:ind w:left="0" w:firstLine="0"/>
    </w:pPr>
    <w:rPr>
      <w:rFonts w:ascii="Verdana" w:eastAsia="Times New Roman" w:hAnsi="Verdana" w:cs="Times New Roman"/>
      <w:b/>
      <w:color w:val="000000"/>
      <w:kern w:val="28"/>
      <w:sz w:val="28"/>
      <w:szCs w:val="20"/>
      <w:lang w:val="en-AU"/>
    </w:rPr>
  </w:style>
  <w:style w:type="paragraph" w:customStyle="1" w:styleId="Titulo2">
    <w:name w:val="Titulo 2"/>
    <w:basedOn w:val="Ttulo2"/>
    <w:rsid w:val="00D82601"/>
    <w:pPr>
      <w:widowControl/>
      <w:numPr>
        <w:ilvl w:val="1"/>
        <w:numId w:val="1"/>
      </w:numPr>
      <w:autoSpaceDE/>
      <w:autoSpaceDN/>
      <w:spacing w:before="400" w:after="160" w:line="360" w:lineRule="auto"/>
    </w:pPr>
    <w:rPr>
      <w:rFonts w:ascii="Verdana" w:hAnsi="Verdana"/>
      <w:bCs w:val="0"/>
      <w:i w:val="0"/>
      <w:iCs w:val="0"/>
      <w:sz w:val="26"/>
      <w:szCs w:val="20"/>
      <w:lang w:val="en-AU"/>
    </w:rPr>
  </w:style>
  <w:style w:type="paragraph" w:customStyle="1" w:styleId="Titulo4">
    <w:name w:val="Titulo 4"/>
    <w:basedOn w:val="Ttulo4"/>
    <w:rsid w:val="00D82601"/>
    <w:pPr>
      <w:keepLines w:val="0"/>
      <w:widowControl/>
      <w:numPr>
        <w:ilvl w:val="3"/>
        <w:numId w:val="1"/>
      </w:numPr>
      <w:tabs>
        <w:tab w:val="clear" w:pos="864"/>
        <w:tab w:val="num" w:pos="360"/>
        <w:tab w:val="left" w:pos="900"/>
      </w:tabs>
      <w:autoSpaceDE/>
      <w:autoSpaceDN/>
      <w:spacing w:before="0"/>
      <w:ind w:left="0" w:firstLine="0"/>
    </w:pPr>
    <w:rPr>
      <w:rFonts w:ascii="Verdana" w:eastAsia="Times New Roman" w:hAnsi="Verdana" w:cs="Times New Roman"/>
      <w:b/>
      <w:i w:val="0"/>
      <w:color w:val="auto"/>
      <w:lang w:val="es-CO"/>
    </w:rPr>
  </w:style>
  <w:style w:type="paragraph" w:customStyle="1" w:styleId="Titulo3">
    <w:name w:val="Titulo 3"/>
    <w:basedOn w:val="Ttulo3"/>
    <w:rsid w:val="00D82601"/>
    <w:pPr>
      <w:numPr>
        <w:ilvl w:val="2"/>
        <w:numId w:val="1"/>
      </w:numPr>
      <w:autoSpaceDE/>
      <w:autoSpaceDN/>
      <w:spacing w:before="360" w:after="120" w:line="360" w:lineRule="auto"/>
      <w:ind w:right="0"/>
      <w:jc w:val="left"/>
    </w:pPr>
    <w:rPr>
      <w:rFonts w:ascii="Arial" w:hAnsi="Arial"/>
      <w:bCs w:val="0"/>
      <w:i w:val="0"/>
      <w:iCs w:val="0"/>
      <w:sz w:val="24"/>
      <w:szCs w:val="20"/>
      <w:lang w:val="en-AU"/>
    </w:rPr>
  </w:style>
  <w:style w:type="paragraph" w:styleId="Prrafodelista">
    <w:name w:val="List Paragraph"/>
    <w:basedOn w:val="Normal"/>
    <w:uiPriority w:val="34"/>
    <w:qFormat/>
    <w:rsid w:val="00D82601"/>
    <w:pPr>
      <w:ind w:left="720"/>
      <w:contextualSpacing/>
    </w:pPr>
  </w:style>
  <w:style w:type="character" w:customStyle="1" w:styleId="Ttulo1Car">
    <w:name w:val="Título 1 Car"/>
    <w:basedOn w:val="Fuentedeprrafopredeter"/>
    <w:link w:val="Ttulo1"/>
    <w:uiPriority w:val="9"/>
    <w:rsid w:val="00D82601"/>
    <w:rPr>
      <w:rFonts w:asciiTheme="majorHAnsi" w:eastAsiaTheme="majorEastAsia" w:hAnsiTheme="majorHAnsi" w:cstheme="majorBidi"/>
      <w:color w:val="2F5496" w:themeColor="accent1" w:themeShade="BF"/>
      <w:sz w:val="32"/>
      <w:szCs w:val="32"/>
      <w:lang w:val="es-ES" w:eastAsia="es-ES"/>
    </w:rPr>
  </w:style>
  <w:style w:type="character" w:customStyle="1" w:styleId="Ttulo4Car">
    <w:name w:val="Título 4 Car"/>
    <w:basedOn w:val="Fuentedeprrafopredeter"/>
    <w:link w:val="Ttulo4"/>
    <w:uiPriority w:val="9"/>
    <w:semiHidden/>
    <w:rsid w:val="00D82601"/>
    <w:rPr>
      <w:rFonts w:asciiTheme="majorHAnsi" w:eastAsiaTheme="majorEastAsia" w:hAnsiTheme="majorHAnsi" w:cstheme="majorBidi"/>
      <w:i/>
      <w:iCs/>
      <w:color w:val="2F5496" w:themeColor="accent1" w:themeShade="BF"/>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F052.93FAF8F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1.jpg@01D4F052.93FAF8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A65FJVFR3NAS-1820456951-8530</_dlc_DocId>
    <_dlc_DocIdUrl xmlns="fe5c55e1-1529-428c-8c16-ada3460a0e7a">
      <Url>http://tame/_layouts/15/DocIdRedir.aspx?ID=A65FJVFR3NAS-1820456951-8530</Url>
      <Description>A65FJVFR3NAS-1820456951-8530</Description>
    </_dlc_DocIdUrl>
  </documentManagement>
</p:properties>
</file>

<file path=customXml/itemProps1.xml><?xml version="1.0" encoding="utf-8"?>
<ds:datastoreItem xmlns:ds="http://schemas.openxmlformats.org/officeDocument/2006/customXml" ds:itemID="{BD6F9D7A-48FF-4ACD-AFD5-85659DC33836}"/>
</file>

<file path=customXml/itemProps2.xml><?xml version="1.0" encoding="utf-8"?>
<ds:datastoreItem xmlns:ds="http://schemas.openxmlformats.org/officeDocument/2006/customXml" ds:itemID="{EC94B9E9-B5C3-4F48-89EB-9E35D88F170A}"/>
</file>

<file path=customXml/itemProps3.xml><?xml version="1.0" encoding="utf-8"?>
<ds:datastoreItem xmlns:ds="http://schemas.openxmlformats.org/officeDocument/2006/customXml" ds:itemID="{8A4FAE73-9FFD-42B7-A556-88ED4607F64E}"/>
</file>

<file path=customXml/itemProps4.xml><?xml version="1.0" encoding="utf-8"?>
<ds:datastoreItem xmlns:ds="http://schemas.openxmlformats.org/officeDocument/2006/customXml" ds:itemID="{96E17DDA-CE08-4BEE-BB50-B36FE6FB2E0A}"/>
</file>

<file path=docProps/app.xml><?xml version="1.0" encoding="utf-8"?>
<Properties xmlns="http://schemas.openxmlformats.org/officeDocument/2006/extended-properties" xmlns:vt="http://schemas.openxmlformats.org/officeDocument/2006/docPropsVTypes">
  <Template>Normal.dotm</Template>
  <TotalTime>8</TotalTime>
  <Pages>2</Pages>
  <Words>851</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Barrero</dc:creator>
  <cp:keywords/>
  <dc:description/>
  <cp:lastModifiedBy>Omar Alberto Baron Avendano</cp:lastModifiedBy>
  <cp:revision>9</cp:revision>
  <dcterms:created xsi:type="dcterms:W3CDTF">2021-10-04T18:10:00Z</dcterms:created>
  <dcterms:modified xsi:type="dcterms:W3CDTF">2021-10-04T22:26:00Z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d21ab099-93d1-445e-b843-67619c54d221</vt:lpwstr>
  </property>
</Properties>
</file>